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34A" w:rsidRPr="0004134A" w:rsidRDefault="0004134A" w:rsidP="0004134A">
      <w:pPr>
        <w:ind w:firstLine="0"/>
        <w:jc w:val="center"/>
        <w:rPr>
          <w:rFonts w:ascii="PT Astra Serif" w:hAnsi="PT Astra Serif"/>
          <w:szCs w:val="26"/>
        </w:rPr>
      </w:pPr>
      <w:r w:rsidRPr="0004134A">
        <w:rPr>
          <w:rFonts w:ascii="PT Astra Serif" w:hAnsi="PT Astra Serif"/>
          <w:szCs w:val="26"/>
        </w:rPr>
        <w:t>02.07.2026</w:t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</w:r>
      <w:r w:rsidRPr="0004134A">
        <w:rPr>
          <w:rFonts w:ascii="PT Astra Serif" w:hAnsi="PT Astra Serif"/>
          <w:szCs w:val="26"/>
        </w:rPr>
        <w:tab/>
        <w:t>№ 5</w:t>
      </w:r>
      <w:r w:rsidRPr="0004134A">
        <w:rPr>
          <w:rFonts w:ascii="PT Astra Serif" w:hAnsi="PT Astra Serif"/>
          <w:szCs w:val="26"/>
        </w:rPr>
        <w:t>4</w:t>
      </w:r>
      <w:r w:rsidRPr="0004134A">
        <w:rPr>
          <w:rFonts w:ascii="PT Astra Serif" w:hAnsi="PT Astra Serif"/>
          <w:szCs w:val="26"/>
        </w:rPr>
        <w:t>п</w:t>
      </w:r>
    </w:p>
    <w:p w:rsidR="0004134A" w:rsidRDefault="0004134A" w:rsidP="0004134A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04134A" w:rsidRDefault="0004134A" w:rsidP="0004134A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B33E33" w:rsidRDefault="0004134A">
      <w:pPr>
        <w:pStyle w:val="24"/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8"/>
        </w:rPr>
        <w:t xml:space="preserve">Об определении порядка, сроков проведения и источников финансирования реконструкции </w:t>
      </w:r>
      <w:r>
        <w:rPr>
          <w:rFonts w:ascii="PT Astra Serif" w:hAnsi="PT Astra Serif"/>
          <w:color w:val="000000"/>
          <w:szCs w:val="28"/>
        </w:rPr>
        <w:t xml:space="preserve">или сноса многоквартирных домов, </w:t>
      </w:r>
      <w:r>
        <w:rPr>
          <w:rFonts w:ascii="PT Astra Serif" w:hAnsi="PT Astra Serif" w:cs="PT Astra Serif"/>
          <w:szCs w:val="28"/>
        </w:rPr>
        <w:t>физический износ основных конструктивных элементов (крыша, стены, фундамент) которых превышает семьдесят процентов</w:t>
      </w:r>
      <w:r>
        <w:rPr>
          <w:rFonts w:ascii="PT Astra Serif" w:hAnsi="PT Astra Serif"/>
          <w:color w:val="000000"/>
          <w:szCs w:val="28"/>
        </w:rPr>
        <w:t xml:space="preserve"> и которые не включены и (или) исключены из Региональной </w:t>
      </w:r>
      <w:r>
        <w:rPr>
          <w:rStyle w:val="aff2"/>
          <w:rFonts w:ascii="PT Astra Serif" w:hAnsi="PT Astra Serif"/>
          <w:color w:val="000000"/>
          <w:szCs w:val="28"/>
          <w:u w:val="none"/>
        </w:rPr>
        <w:t>программы</w:t>
      </w:r>
      <w:r>
        <w:rPr>
          <w:rFonts w:ascii="PT Astra Serif" w:hAnsi="PT Astra Serif"/>
          <w:color w:val="000000"/>
          <w:szCs w:val="28"/>
        </w:rPr>
        <w:t xml:space="preserve"> капитального ремонта общего имущества в многоквартирных домах, расположенных на территории Томской области, </w:t>
      </w:r>
      <w:r>
        <w:rPr>
          <w:rFonts w:ascii="PT Astra Serif" w:eastAsia="Calibri" w:hAnsi="PT Astra Serif"/>
          <w:szCs w:val="28"/>
        </w:rPr>
        <w:t>либо иных мероприятий</w:t>
      </w:r>
      <w:r>
        <w:rPr>
          <w:rFonts w:ascii="PT Astra Serif" w:hAnsi="PT Astra Serif"/>
          <w:szCs w:val="28"/>
        </w:rPr>
        <w:t>, предусмотренных законодательством Российской Федерации и о</w:t>
      </w:r>
      <w:r>
        <w:rPr>
          <w:rFonts w:ascii="PT Astra Serif" w:hAnsi="PT Astra Serif"/>
          <w:szCs w:val="28"/>
        </w:rPr>
        <w:t>беспечивающих жилищные права собственников жилых помещений и нанимателей жилых помещений по договорам социального найма в этих домах</w:t>
      </w:r>
    </w:p>
    <w:p w:rsidR="00B33E33" w:rsidRDefault="00B33E33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B33E33" w:rsidRDefault="00B33E33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пунктом 1 части 2 статьи 168 Жилищного кодекса Российской Федерации, пунктом 6.15 статьи 4 Закона Томско</w:t>
      </w:r>
      <w:r>
        <w:rPr>
          <w:rFonts w:ascii="PT Astra Serif" w:hAnsi="PT Astra Serif"/>
          <w:sz w:val="26"/>
          <w:szCs w:val="26"/>
        </w:rPr>
        <w:t>й области от 7 июня  2013 года № 116-ОЗ «Об организации проведения капитального ремонта общего имущества в многоквартирных домах на территории Томской области»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Определить Порядок, сроки проведения и источники финансирования реконструкции </w:t>
      </w:r>
      <w:r>
        <w:rPr>
          <w:rFonts w:ascii="PT Astra Serif" w:hAnsi="PT Astra Serif"/>
          <w:color w:val="000000"/>
          <w:sz w:val="26"/>
          <w:szCs w:val="26"/>
        </w:rPr>
        <w:t>и</w:t>
      </w:r>
      <w:r>
        <w:rPr>
          <w:rFonts w:ascii="PT Astra Serif" w:hAnsi="PT Astra Serif"/>
          <w:color w:val="000000"/>
          <w:sz w:val="26"/>
          <w:szCs w:val="26"/>
        </w:rPr>
        <w:t xml:space="preserve">ли сноса многоквартирных домов, </w:t>
      </w:r>
      <w:r>
        <w:rPr>
          <w:rFonts w:ascii="PT Astra Serif" w:eastAsiaTheme="minorHAnsi" w:hAnsi="PT Astra Serif"/>
          <w:sz w:val="26"/>
          <w:szCs w:val="26"/>
          <w:lang w:eastAsia="en-US"/>
        </w:rPr>
        <w:t>физический износ основных конструктивных элементов (крыша, стены, фундамент) которых превышает семьдесят процентов</w:t>
      </w:r>
      <w:r>
        <w:rPr>
          <w:rFonts w:ascii="PT Astra Serif" w:hAnsi="PT Astra Serif"/>
          <w:color w:val="000000"/>
          <w:sz w:val="26"/>
          <w:szCs w:val="26"/>
        </w:rPr>
        <w:t xml:space="preserve"> и которые не включены и (или) исключены из Региональной </w:t>
      </w:r>
      <w:r>
        <w:rPr>
          <w:rStyle w:val="aff2"/>
          <w:rFonts w:ascii="PT Astra Serif" w:hAnsi="PT Astra Serif"/>
          <w:color w:val="000000"/>
          <w:sz w:val="26"/>
          <w:szCs w:val="26"/>
          <w:u w:val="none"/>
        </w:rPr>
        <w:t>программы</w:t>
      </w:r>
      <w:r>
        <w:rPr>
          <w:rFonts w:ascii="PT Astra Serif" w:hAnsi="PT Astra Serif"/>
          <w:color w:val="000000"/>
          <w:sz w:val="26"/>
          <w:szCs w:val="26"/>
        </w:rPr>
        <w:t xml:space="preserve"> капитального ремонта общего имущества в мно</w:t>
      </w:r>
      <w:r>
        <w:rPr>
          <w:rFonts w:ascii="PT Astra Serif" w:hAnsi="PT Astra Serif"/>
          <w:color w:val="000000"/>
          <w:sz w:val="26"/>
          <w:szCs w:val="26"/>
        </w:rPr>
        <w:t xml:space="preserve">гоквартирных домах, расположенных на территории Томской области, </w:t>
      </w:r>
      <w:r>
        <w:rPr>
          <w:rFonts w:ascii="PT Astra Serif" w:eastAsia="Calibri" w:hAnsi="PT Astra Serif"/>
          <w:sz w:val="26"/>
          <w:szCs w:val="26"/>
        </w:rPr>
        <w:t>либо иных мероприятий</w:t>
      </w:r>
      <w:r>
        <w:rPr>
          <w:rFonts w:ascii="PT Astra Serif" w:hAnsi="PT Astra Serif"/>
          <w:sz w:val="26"/>
          <w:szCs w:val="26"/>
        </w:rPr>
        <w:t>,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</w:t>
      </w:r>
      <w:r>
        <w:rPr>
          <w:rFonts w:ascii="PT Astra Serif" w:hAnsi="PT Astra Serif"/>
          <w:sz w:val="26"/>
          <w:szCs w:val="26"/>
        </w:rPr>
        <w:t>ого найма в этих домах, согласно приложению к настоящему постановлению.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Департаменту информационной политики Правительства Томской области обеспечить опубликование настоящего постановления.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Контроль за выполнением настоящего постановления возложить н</w:t>
      </w:r>
      <w:r>
        <w:rPr>
          <w:rFonts w:ascii="PT Astra Serif" w:hAnsi="PT Astra Serif"/>
          <w:sz w:val="26"/>
          <w:szCs w:val="26"/>
        </w:rPr>
        <w:t>а   заместителя Председателя Правительства Томской области (по   территориальному развитию).</w:t>
      </w:r>
    </w:p>
    <w:p w:rsidR="00B33E33" w:rsidRDefault="00B33E33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B33E33" w:rsidRDefault="00B33E33">
      <w:pPr>
        <w:tabs>
          <w:tab w:val="left" w:pos="7088"/>
        </w:tabs>
        <w:ind w:firstLine="0"/>
        <w:jc w:val="both"/>
        <w:rPr>
          <w:rFonts w:ascii="PT Astra Serif" w:hAnsi="PT Astra Serif"/>
        </w:rPr>
      </w:pPr>
    </w:p>
    <w:p w:rsidR="00B33E33" w:rsidRDefault="00B33E33">
      <w:pPr>
        <w:tabs>
          <w:tab w:val="left" w:pos="7088"/>
        </w:tabs>
        <w:ind w:firstLine="0"/>
        <w:jc w:val="both"/>
        <w:rPr>
          <w:rFonts w:ascii="PT Astra Serif" w:hAnsi="PT Astra Serif"/>
        </w:rPr>
      </w:pPr>
    </w:p>
    <w:p w:rsidR="00B33E33" w:rsidRDefault="00B33E33">
      <w:pPr>
        <w:tabs>
          <w:tab w:val="left" w:pos="7088"/>
        </w:tabs>
        <w:ind w:firstLine="0"/>
        <w:jc w:val="both"/>
        <w:rPr>
          <w:rFonts w:ascii="PT Astra Serif" w:hAnsi="PT Astra Serif"/>
        </w:rPr>
      </w:pPr>
    </w:p>
    <w:p w:rsidR="00B33E33" w:rsidRDefault="0004134A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Председатель Правительства</w:t>
      </w:r>
    </w:p>
    <w:p w:rsidR="00B33E33" w:rsidRDefault="0004134A">
      <w:pPr>
        <w:tabs>
          <w:tab w:val="left" w:pos="7371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</w:t>
      </w:r>
      <w:r>
        <w:rPr>
          <w:rFonts w:ascii="PT Astra Serif" w:hAnsi="PT Astra Serif"/>
          <w:szCs w:val="26"/>
        </w:rPr>
        <w:tab/>
        <w:t xml:space="preserve">  А.В. Кондратьев</w:t>
      </w:r>
    </w:p>
    <w:p w:rsidR="00B33E33" w:rsidRDefault="00B33E33">
      <w:pPr>
        <w:ind w:firstLine="0"/>
        <w:rPr>
          <w:rFonts w:ascii="PT Astra Serif" w:hAnsi="PT Astra Serif"/>
          <w:sz w:val="20"/>
        </w:rPr>
      </w:pPr>
    </w:p>
    <w:p w:rsidR="00B33E33" w:rsidRDefault="00B33E33">
      <w:pPr>
        <w:ind w:firstLine="0"/>
        <w:rPr>
          <w:rFonts w:ascii="PT Astra Serif" w:hAnsi="PT Astra Serif"/>
          <w:sz w:val="20"/>
        </w:rPr>
      </w:pPr>
    </w:p>
    <w:p w:rsidR="00B33E33" w:rsidRPr="0004134A" w:rsidRDefault="0004134A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Баев Ю.И.</w:t>
      </w:r>
    </w:p>
    <w:p w:rsidR="00B33E33" w:rsidRPr="0004134A" w:rsidRDefault="0004134A">
      <w:pPr>
        <w:ind w:firstLine="0"/>
        <w:rPr>
          <w:rFonts w:ascii="PT Astra Serif" w:hAnsi="PT Astra Serif"/>
          <w:sz w:val="20"/>
        </w:rPr>
        <w:sectPr w:rsidR="00B33E33" w:rsidRPr="0004134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134" w:right="850" w:bottom="682" w:left="1701" w:header="720" w:footer="567" w:gutter="0"/>
          <w:cols w:space="720"/>
          <w:titlePg/>
          <w:docGrid w:linePitch="360"/>
        </w:sectPr>
      </w:pPr>
      <w:r w:rsidRPr="0004134A">
        <w:rPr>
          <w:rFonts w:ascii="PT Astra Serif" w:hAnsi="PT Astra Serif"/>
          <w:sz w:val="20"/>
        </w:rPr>
        <w:t>0622</w:t>
      </w:r>
      <w:r>
        <w:rPr>
          <w:rFonts w:ascii="PT Astra Serif" w:hAnsi="PT Astra Serif"/>
          <w:sz w:val="20"/>
          <w:lang w:val="en-US"/>
        </w:rPr>
        <w:t>pv</w:t>
      </w:r>
      <w:r w:rsidRPr="0004134A">
        <w:rPr>
          <w:rFonts w:ascii="PT Astra Serif" w:hAnsi="PT Astra Serif"/>
          <w:sz w:val="20"/>
        </w:rPr>
        <w:t>01.</w:t>
      </w:r>
      <w:r>
        <w:rPr>
          <w:rFonts w:ascii="PT Astra Serif" w:hAnsi="PT Astra Serif"/>
          <w:sz w:val="20"/>
          <w:lang w:val="en-US"/>
        </w:rPr>
        <w:t>ppp</w:t>
      </w:r>
      <w:r w:rsidRPr="0004134A">
        <w:rPr>
          <w:rFonts w:ascii="PT Astra Serif" w:hAnsi="PT Astra Serif"/>
          <w:sz w:val="20"/>
        </w:rPr>
        <w:t>2026</w:t>
      </w:r>
    </w:p>
    <w:p w:rsidR="00B33E33" w:rsidRDefault="0004134A">
      <w:pPr>
        <w:pStyle w:val="ConsPlusNormal"/>
        <w:ind w:left="5670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B33E33" w:rsidRDefault="00B33E33">
      <w:pPr>
        <w:pStyle w:val="ConsPlusNormal"/>
        <w:ind w:left="5670"/>
        <w:outlineLvl w:val="0"/>
        <w:rPr>
          <w:rFonts w:ascii="PT Astra Serif" w:hAnsi="PT Astra Serif"/>
          <w:sz w:val="8"/>
          <w:szCs w:val="8"/>
        </w:rPr>
      </w:pPr>
    </w:p>
    <w:p w:rsidR="00B33E33" w:rsidRDefault="0004134A">
      <w:pPr>
        <w:pStyle w:val="ConsPlusNormal"/>
        <w:ind w:left="5670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ОПРЕДЕЛЕНЫ</w:t>
      </w:r>
      <w:r>
        <w:rPr>
          <w:rFonts w:ascii="PT Astra Serif" w:hAnsi="PT Astra Serif"/>
          <w:sz w:val="24"/>
          <w:szCs w:val="24"/>
        </w:rPr>
        <w:br/>
        <w:t xml:space="preserve">постановлением Правительства Томской области </w:t>
      </w:r>
    </w:p>
    <w:p w:rsidR="00B33E33" w:rsidRDefault="0004134A">
      <w:pPr>
        <w:pStyle w:val="ConsPlusNormal"/>
        <w:ind w:left="5670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bookmarkStart w:id="0" w:name="_GoBack"/>
      <w:bookmarkEnd w:id="0"/>
      <w:r>
        <w:rPr>
          <w:rFonts w:ascii="PT Astra Serif" w:hAnsi="PT Astra Serif"/>
          <w:sz w:val="24"/>
          <w:szCs w:val="24"/>
        </w:rPr>
        <w:t>т 02.07.2026 № 54п</w:t>
      </w:r>
    </w:p>
    <w:p w:rsidR="00B33E33" w:rsidRDefault="00B33E33">
      <w:pPr>
        <w:pStyle w:val="ConsPlusNormal"/>
        <w:ind w:left="5670"/>
        <w:outlineLvl w:val="0"/>
        <w:rPr>
          <w:rFonts w:ascii="PT Astra Serif" w:hAnsi="PT Astra Serif"/>
          <w:sz w:val="24"/>
          <w:szCs w:val="24"/>
        </w:rPr>
      </w:pPr>
    </w:p>
    <w:p w:rsidR="00B33E33" w:rsidRDefault="00B33E33">
      <w:pPr>
        <w:pStyle w:val="ConsPlusNormal"/>
        <w:ind w:left="5670"/>
        <w:outlineLvl w:val="0"/>
        <w:rPr>
          <w:rFonts w:ascii="PT Astra Serif" w:hAnsi="PT Astra Serif"/>
          <w:sz w:val="24"/>
          <w:szCs w:val="24"/>
        </w:rPr>
      </w:pPr>
    </w:p>
    <w:p w:rsidR="00B33E33" w:rsidRDefault="0004134A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bookmarkStart w:id="1" w:name="P35"/>
      <w:bookmarkEnd w:id="1"/>
      <w:r>
        <w:rPr>
          <w:rFonts w:ascii="PT Astra Serif" w:hAnsi="PT Astra Serif"/>
          <w:sz w:val="25"/>
          <w:szCs w:val="25"/>
        </w:rPr>
        <w:t xml:space="preserve">Порядок, сроки проведения и источники финансирования реконструкции </w:t>
      </w:r>
      <w:r>
        <w:rPr>
          <w:rFonts w:ascii="PT Astra Serif" w:hAnsi="PT Astra Serif"/>
          <w:color w:val="000000"/>
          <w:sz w:val="25"/>
          <w:szCs w:val="25"/>
        </w:rPr>
        <w:t xml:space="preserve">или сноса многоквартирных домов, </w:t>
      </w:r>
      <w:r>
        <w:rPr>
          <w:rFonts w:ascii="PT Astra Serif" w:eastAsiaTheme="minorHAnsi" w:hAnsi="PT Astra Serif"/>
          <w:sz w:val="25"/>
          <w:szCs w:val="25"/>
          <w:lang w:eastAsia="en-US"/>
        </w:rPr>
        <w:t>физический износ основных конструктивных элементов (крыша, стены, фундамент) которых превышает семьдесят процентов</w:t>
      </w:r>
      <w:r>
        <w:rPr>
          <w:rFonts w:ascii="PT Astra Serif" w:hAnsi="PT Astra Serif"/>
          <w:color w:val="000000"/>
          <w:sz w:val="25"/>
          <w:szCs w:val="25"/>
        </w:rPr>
        <w:t xml:space="preserve"> и которые не включены и (или) исключены из Региональной </w:t>
      </w:r>
      <w:r>
        <w:rPr>
          <w:rStyle w:val="aff2"/>
          <w:rFonts w:ascii="PT Astra Serif" w:hAnsi="PT Astra Serif"/>
          <w:color w:val="000000"/>
          <w:sz w:val="25"/>
          <w:szCs w:val="25"/>
          <w:u w:val="none"/>
        </w:rPr>
        <w:t>программы</w:t>
      </w:r>
      <w:r>
        <w:rPr>
          <w:rFonts w:ascii="PT Astra Serif" w:hAnsi="PT Astra Serif"/>
          <w:color w:val="000000"/>
          <w:sz w:val="25"/>
          <w:szCs w:val="25"/>
        </w:rPr>
        <w:t xml:space="preserve"> капитального ремонта общего имущества в мн</w:t>
      </w:r>
      <w:r>
        <w:rPr>
          <w:rFonts w:ascii="PT Astra Serif" w:hAnsi="PT Astra Serif"/>
          <w:color w:val="000000"/>
          <w:sz w:val="25"/>
          <w:szCs w:val="25"/>
        </w:rPr>
        <w:t xml:space="preserve">огоквартирных домах, расположенных на территории Томской области, </w:t>
      </w:r>
      <w:r>
        <w:rPr>
          <w:rFonts w:ascii="PT Astra Serif" w:eastAsia="Calibri" w:hAnsi="PT Astra Serif"/>
          <w:sz w:val="25"/>
          <w:szCs w:val="25"/>
        </w:rPr>
        <w:t>либо иных мероприятий</w:t>
      </w:r>
      <w:r>
        <w:rPr>
          <w:rFonts w:ascii="PT Astra Serif" w:hAnsi="PT Astra Serif"/>
          <w:sz w:val="25"/>
          <w:szCs w:val="25"/>
        </w:rPr>
        <w:t>,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</w:t>
      </w:r>
      <w:r>
        <w:rPr>
          <w:rFonts w:ascii="PT Astra Serif" w:hAnsi="PT Astra Serif"/>
          <w:sz w:val="25"/>
          <w:szCs w:val="25"/>
        </w:rPr>
        <w:t>ного найма в этих домах</w:t>
      </w:r>
    </w:p>
    <w:p w:rsidR="00B33E33" w:rsidRDefault="00B33E33">
      <w:pPr>
        <w:pStyle w:val="ConsPlusNormal"/>
        <w:ind w:firstLine="709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B33E33" w:rsidRDefault="0004134A">
      <w:pPr>
        <w:pStyle w:val="aff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1. Настоящий Порядок определяет процедуру, сроки проведения и источники финансирования реконструкции или сноса многоквартирных домов, </w:t>
      </w:r>
      <w:r>
        <w:rPr>
          <w:rFonts w:ascii="PT Astra Serif" w:eastAsiaTheme="minorHAnsi" w:hAnsi="PT Astra Serif"/>
          <w:color w:val="000000" w:themeColor="text1"/>
          <w:sz w:val="25"/>
          <w:szCs w:val="25"/>
          <w:lang w:eastAsia="en-US"/>
        </w:rPr>
        <w:t>физический износ основных конструктивных элементов (крыша, стены, фундамент) которых превышает се</w:t>
      </w:r>
      <w:r>
        <w:rPr>
          <w:rFonts w:ascii="PT Astra Serif" w:eastAsiaTheme="minorHAnsi" w:hAnsi="PT Astra Serif"/>
          <w:color w:val="000000" w:themeColor="text1"/>
          <w:sz w:val="25"/>
          <w:szCs w:val="25"/>
          <w:lang w:eastAsia="en-US"/>
        </w:rPr>
        <w:t>мьдесят процентов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и которые не включены и (или) исключены из Региональной </w:t>
      </w:r>
      <w:r>
        <w:rPr>
          <w:rStyle w:val="aff2"/>
          <w:rFonts w:ascii="PT Astra Serif" w:hAnsi="PT Astra Serif"/>
          <w:color w:val="000000" w:themeColor="text1"/>
          <w:sz w:val="25"/>
          <w:szCs w:val="25"/>
          <w:u w:val="none"/>
        </w:rPr>
        <w:t>программы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капитального ремонта общего имущества в многоквартирных домах, расположенных на территории Томской области, утвержденной постановлением Администрации Томской области </w:t>
      </w:r>
      <w:r>
        <w:rPr>
          <w:rFonts w:ascii="PT Astra Serif" w:hAnsi="PT Astra Serif"/>
          <w:color w:val="000000" w:themeColor="text1"/>
          <w:sz w:val="25"/>
          <w:szCs w:val="25"/>
        </w:rPr>
        <w:t>от 30.12.2013 № 597а «</w:t>
      </w:r>
      <w:r>
        <w:rPr>
          <w:rFonts w:ascii="PT Astra Serif" w:hAnsi="PT Astra Serif"/>
          <w:sz w:val="25"/>
          <w:szCs w:val="25"/>
        </w:rPr>
        <w:t>Об утверждении Региональной программы капитального ремонта общего имущества в многоквартирных домах, расположенных на территории Томской области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» (далее – региональная программа), </w:t>
      </w:r>
      <w:r>
        <w:rPr>
          <w:rFonts w:ascii="PT Astra Serif" w:eastAsia="Calibri" w:hAnsi="PT Astra Serif"/>
          <w:color w:val="000000" w:themeColor="text1"/>
          <w:sz w:val="25"/>
          <w:szCs w:val="25"/>
        </w:rPr>
        <w:t>либо иных мероприятий</w:t>
      </w:r>
      <w:r>
        <w:rPr>
          <w:rFonts w:ascii="PT Astra Serif" w:hAnsi="PT Astra Serif"/>
          <w:color w:val="000000" w:themeColor="text1"/>
          <w:sz w:val="25"/>
          <w:szCs w:val="25"/>
        </w:rPr>
        <w:t>, предусмотренных законодательств</w:t>
      </w:r>
      <w:r>
        <w:rPr>
          <w:rFonts w:ascii="PT Astra Serif" w:hAnsi="PT Astra Serif"/>
          <w:color w:val="000000" w:themeColor="text1"/>
          <w:sz w:val="25"/>
          <w:szCs w:val="25"/>
        </w:rPr>
        <w:t>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домах.</w:t>
      </w:r>
      <w:bookmarkStart w:id="2" w:name="P47"/>
      <w:bookmarkStart w:id="3" w:name="P49"/>
      <w:bookmarkEnd w:id="2"/>
      <w:bookmarkEnd w:id="3"/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2. Департамент ЖКХ и государственного жилищного надзора Томской области (далее – Департамент) в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течение 20 рабочих дней после исключения из региональной программы многоквартирных домов, </w:t>
      </w:r>
      <w:r>
        <w:rPr>
          <w:rFonts w:ascii="PT Astra Serif" w:eastAsiaTheme="minorHAnsi" w:hAnsi="PT Astra Serif"/>
          <w:color w:val="000000" w:themeColor="text1"/>
          <w:sz w:val="25"/>
          <w:szCs w:val="25"/>
          <w:lang w:eastAsia="en-US"/>
        </w:rPr>
        <w:t>физический износ основных конструктивных элементов (крыша, стены, фундамент) которых превышает семьдесят процентов (далее – многоквартирный дом)</w:t>
      </w:r>
      <w:r>
        <w:rPr>
          <w:rFonts w:ascii="PT Astra Serif" w:hAnsi="PT Astra Serif"/>
          <w:color w:val="000000" w:themeColor="text1"/>
          <w:sz w:val="25"/>
          <w:szCs w:val="25"/>
        </w:rPr>
        <w:t>, направляет адресные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перечни исключенных из региональной программы многоквартирных домов в местные администрации муниципального округа, городского округа, сельского (городского) поселения, на территории которых расположены многоквартирные дома (далее – орган местного самоупра</w:t>
      </w:r>
      <w:r>
        <w:rPr>
          <w:rFonts w:ascii="PT Astra Serif" w:hAnsi="PT Astra Serif"/>
          <w:color w:val="000000" w:themeColor="text1"/>
          <w:sz w:val="25"/>
          <w:szCs w:val="25"/>
        </w:rPr>
        <w:t>вления), для информирования собственников жилых помещений и нанимателей жилых помещений по договорам социального найма в исключенных из региональной программы многоквартирных домах об исключении многоквартирных домов из региональной программы.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Орган местно</w:t>
      </w:r>
      <w:r>
        <w:rPr>
          <w:rFonts w:ascii="PT Astra Serif" w:hAnsi="PT Astra Serif"/>
          <w:color w:val="000000" w:themeColor="text1"/>
          <w:sz w:val="25"/>
          <w:szCs w:val="25"/>
        </w:rPr>
        <w:t>го самоуправления в течение трех месяцев со дня исключения из региональной программы многоквартирного дома: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размещает адресный перечень многоквартирных домов, исключенных из  региональной программы и находящихся на территории муниципального образования, на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официальном сайте органа местного самоуправления в информационно-телекоммуникационной сети «Интернет»;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размещает информацию об исключении многоквартирного дома </w:t>
      </w:r>
      <w:r>
        <w:rPr>
          <w:rFonts w:ascii="PT Astra Serif" w:hAnsi="PT Astra Serif"/>
          <w:color w:val="000000" w:themeColor="text1"/>
          <w:sz w:val="25"/>
          <w:szCs w:val="25"/>
        </w:rPr>
        <w:lastRenderedPageBreak/>
        <w:t>из   региональной программы в общедоступных местах на досках объявлений, расположенных в подъез</w:t>
      </w:r>
      <w:r>
        <w:rPr>
          <w:rFonts w:ascii="PT Astra Serif" w:hAnsi="PT Astra Serif"/>
          <w:color w:val="000000" w:themeColor="text1"/>
          <w:sz w:val="25"/>
          <w:szCs w:val="25"/>
        </w:rPr>
        <w:t>дах многоквартирного дома и (или) в пределах земельного участка, на котором расположен многоквартирный дом;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оценивает возможность изъятия земельных участков, на которых находятся многоквартирные дома, исключенные из региональной программы, в целях </w:t>
      </w:r>
      <w:r>
        <w:rPr>
          <w:rFonts w:ascii="PT Astra Serif" w:hAnsi="PT Astra Serif"/>
          <w:sz w:val="25"/>
          <w:szCs w:val="25"/>
        </w:rPr>
        <w:t>комплекс</w:t>
      </w:r>
      <w:r>
        <w:rPr>
          <w:rFonts w:ascii="PT Astra Serif" w:hAnsi="PT Astra Serif"/>
          <w:sz w:val="25"/>
          <w:szCs w:val="25"/>
        </w:rPr>
        <w:t>ного развития территории жилой застройки;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проводит с собственниками помещений в многоквартирных домах, исключенных из региональной программы, разъяснительную работу </w:t>
      </w:r>
      <w:r>
        <w:rPr>
          <w:rFonts w:ascii="PT Astra Serif" w:hAnsi="PT Astra Serif"/>
          <w:sz w:val="25"/>
          <w:szCs w:val="25"/>
        </w:rPr>
        <w:t>о необходимости принятия собственниками одного из следующих решений: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о проведении капита</w:t>
      </w:r>
      <w:r>
        <w:rPr>
          <w:rFonts w:ascii="PT Astra Serif" w:hAnsi="PT Astra Serif"/>
          <w:sz w:val="25"/>
          <w:szCs w:val="25"/>
        </w:rPr>
        <w:t>льного ремонта или реконструкции многоквартирного дома с целью восстановления утраченных технических характеристик;</w:t>
      </w:r>
      <w:bookmarkStart w:id="4" w:name="P44"/>
      <w:bookmarkEnd w:id="4"/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</w:t>
      </w:r>
      <w:bookmarkStart w:id="5" w:name="P45"/>
      <w:bookmarkEnd w:id="5"/>
      <w:r>
        <w:rPr>
          <w:rFonts w:ascii="PT Astra Serif" w:hAnsi="PT Astra Serif"/>
          <w:sz w:val="25"/>
          <w:szCs w:val="25"/>
        </w:rPr>
        <w:t> об обращении в межведомственную комиссию, созданную в соответствии с постановлением Правительства Российской Федерации от 28.01.2006 № 47</w:t>
      </w:r>
      <w:r>
        <w:rPr>
          <w:rFonts w:ascii="PT Astra Serif" w:hAnsi="PT Astra Serif"/>
          <w:sz w:val="25"/>
          <w:szCs w:val="25"/>
        </w:rPr>
        <w:t xml:space="preserve"> «Об утверждении Положения о признании помещения жилым помещением, жилого помещения непригодным для проживания, многоквартирного дома аварийным и подлежащим сносу или реконструкции, садового дома жилым домом и жилого дома садовым домом» (далее </w:t>
      </w:r>
      <w:r>
        <w:rPr>
          <w:rFonts w:ascii="PT Astra Serif" w:hAnsi="PT Astra Serif"/>
          <w:color w:val="000000" w:themeColor="text1"/>
          <w:sz w:val="25"/>
          <w:szCs w:val="25"/>
        </w:rPr>
        <w:t>–</w:t>
      </w:r>
      <w:r>
        <w:rPr>
          <w:rFonts w:ascii="PT Astra Serif" w:hAnsi="PT Astra Serif"/>
          <w:sz w:val="25"/>
          <w:szCs w:val="25"/>
        </w:rPr>
        <w:t xml:space="preserve"> межведомст</w:t>
      </w:r>
      <w:r>
        <w:rPr>
          <w:rFonts w:ascii="PT Astra Serif" w:hAnsi="PT Astra Serif"/>
          <w:sz w:val="25"/>
          <w:szCs w:val="25"/>
        </w:rPr>
        <w:t>венная комиссия; Постановление № 47), для принятия решения о признании многоквартирного дома аварийным и подлежащим сносу или реконструкции.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Решения, предусмотренные подпунктами 1) и 2) настоящего пункта, принимаются на общем собрании собственников помещен</w:t>
      </w:r>
      <w:r>
        <w:rPr>
          <w:rFonts w:ascii="PT Astra Serif" w:hAnsi="PT Astra Serif"/>
          <w:sz w:val="25"/>
          <w:szCs w:val="25"/>
        </w:rPr>
        <w:t>ий в многоквартирном доме и оформляются протоколом общего собрания собственников помещений в многоквартирном доме, который не позднее чем через 10 календарных дней после проведения общего собрания собственников помещений в многоквартирном доме в порядке, у</w:t>
      </w:r>
      <w:r>
        <w:rPr>
          <w:rFonts w:ascii="PT Astra Serif" w:hAnsi="PT Astra Serif"/>
          <w:sz w:val="25"/>
          <w:szCs w:val="25"/>
        </w:rPr>
        <w:t>становленном статьей 46 Жилищного кодекса Российской Федерации, направляется в Департамент. В указанный в настоящем абзаце срок копия протокола общего собрания собственников помещений в многоквартирном доме направляется любым из собственников помещений в м</w:t>
      </w:r>
      <w:r>
        <w:rPr>
          <w:rFonts w:ascii="PT Astra Serif" w:hAnsi="PT Astra Serif"/>
          <w:sz w:val="25"/>
          <w:szCs w:val="25"/>
        </w:rPr>
        <w:t>ногоквартирном доме в орган местного самоуправления.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В случае исключения многоквартирных домов из региональной программы до даты вступления в силу настоящего Порядка сроки, указанные в абзаце первом и втором настоящего пункта, исчисляются с даты вступления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в силу настоящего Порядка.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3. Собственники помещений или наниматели жилых помещений по договорам социального найма в многоквартирном доме, исключенном из региональной программы, вправе обратиться в фонд «Региональный фонд капитального ремонта многоквартир</w:t>
      </w:r>
      <w:r>
        <w:rPr>
          <w:rFonts w:ascii="PT Astra Serif" w:hAnsi="PT Astra Serif"/>
          <w:color w:val="000000" w:themeColor="text1"/>
          <w:sz w:val="25"/>
          <w:szCs w:val="25"/>
        </w:rPr>
        <w:t>ных домов Томской области» (далее – региональный оператор) с заявлением о предоставлении копии технического заключения по результатам обследования многоквартирного дома, подтверждающего физический износ основных конструктивных элементов (крыша, стены, фунд</w:t>
      </w:r>
      <w:r>
        <w:rPr>
          <w:rFonts w:ascii="PT Astra Serif" w:hAnsi="PT Astra Serif"/>
          <w:color w:val="000000" w:themeColor="text1"/>
          <w:sz w:val="25"/>
          <w:szCs w:val="25"/>
        </w:rPr>
        <w:t>амент) (далее – заключение), в случае проведения обследования технического состояния многоквартирного дома специализированной организацией по договору с региональным оператором. Региональный оператор предоставляет копию заключения либо отказывает в  предос</w:t>
      </w:r>
      <w:r>
        <w:rPr>
          <w:rFonts w:ascii="PT Astra Serif" w:hAnsi="PT Astra Serif"/>
          <w:color w:val="000000" w:themeColor="text1"/>
          <w:sz w:val="25"/>
          <w:szCs w:val="25"/>
        </w:rPr>
        <w:t>тавлении копии заключения в течение 15 календарных дней с даты поступлени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я заявления о </w:t>
      </w:r>
      <w:r>
        <w:rPr>
          <w:rFonts w:ascii="PT Astra Serif" w:hAnsi="PT Astra Serif"/>
          <w:color w:val="000000" w:themeColor="text1"/>
          <w:sz w:val="25"/>
          <w:szCs w:val="25"/>
        </w:rPr>
        <w:t>предоставлении копии заключения.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Региональный оператор вправе отказать в предоставлении копии заключения, если ранее им уже выдавалась копия заключения обратившимся лица</w:t>
      </w:r>
      <w:r>
        <w:rPr>
          <w:rFonts w:ascii="PT Astra Serif" w:hAnsi="PT Astra Serif"/>
          <w:color w:val="000000" w:themeColor="text1"/>
          <w:sz w:val="25"/>
          <w:szCs w:val="25"/>
        </w:rPr>
        <w:t>м.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4. В случае несогласия с выводами, изложенными в заключении, собственники помещений в многоквартирном доме вправе </w:t>
      </w:r>
      <w:r>
        <w:rPr>
          <w:rFonts w:ascii="PT Astra Serif" w:hAnsi="PT Astra Serif"/>
          <w:sz w:val="25"/>
          <w:szCs w:val="25"/>
        </w:rPr>
        <w:t xml:space="preserve">на основании решения общего собрания </w:t>
      </w:r>
      <w:r>
        <w:rPr>
          <w:rFonts w:ascii="PT Astra Serif" w:hAnsi="PT Astra Serif"/>
          <w:sz w:val="25"/>
          <w:szCs w:val="25"/>
        </w:rPr>
        <w:lastRenderedPageBreak/>
        <w:t xml:space="preserve">собственников помещений в многоквартирном доме 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провести за собственный счет обследование технического </w:t>
      </w:r>
      <w:r>
        <w:rPr>
          <w:rFonts w:ascii="PT Astra Serif" w:hAnsi="PT Astra Serif"/>
          <w:color w:val="000000" w:themeColor="text1"/>
          <w:sz w:val="25"/>
          <w:szCs w:val="25"/>
        </w:rPr>
        <w:t>состояния многоквартирного дома по договору со специализированной организацией.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Если новым техническим заключением по результатам обследования многоквартирного дома специализированной организацией (далее – новое техническое заключение) установлено, что физ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ический износ основных конструктивных элементов (крыша, стены, фундамент) многоквартирного дома, ранее исключенного из региональной программы, не превышает семьдесят процентов, собственники помещений или наниматели жилых помещений по договорам социального </w:t>
      </w:r>
      <w:r>
        <w:rPr>
          <w:rFonts w:ascii="PT Astra Serif" w:hAnsi="PT Astra Serif"/>
          <w:color w:val="000000" w:themeColor="text1"/>
          <w:sz w:val="25"/>
          <w:szCs w:val="25"/>
        </w:rPr>
        <w:t>найма в многоквартирном доме вправе направить в орган местного самоуправления заявление о включении многоквартирного дома в региональную программу с приложением нового технического заключения.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Орган местного самоуправления рассматривает заявление, указанно</w:t>
      </w:r>
      <w:r>
        <w:rPr>
          <w:rFonts w:ascii="PT Astra Serif" w:hAnsi="PT Astra Serif"/>
          <w:color w:val="000000" w:themeColor="text1"/>
          <w:sz w:val="25"/>
          <w:szCs w:val="25"/>
        </w:rPr>
        <w:t>е в абзаце втором настоящего пункта, в течение 30 календарных дней с даты его поступления и  принимает мотивированное решение об удовлетворении заявления о включении многоквартирного дома в региональную программу либо об отказе в удовлетворении заявления о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включении многоквартирного дома в региональную программу и направляет заявителю уведомление об удовлетворении заяв</w:t>
      </w:r>
      <w:r>
        <w:rPr>
          <w:rFonts w:ascii="PT Astra Serif" w:hAnsi="PT Astra Serif"/>
          <w:color w:val="000000" w:themeColor="text1"/>
          <w:sz w:val="25"/>
          <w:szCs w:val="25"/>
        </w:rPr>
        <w:t>ления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о включении многоквартирного дома в региональную программу либо об отказе в удовлетворении заявления о включении многоквартирного дома </w:t>
      </w:r>
      <w:r>
        <w:rPr>
          <w:rFonts w:ascii="PT Astra Serif" w:hAnsi="PT Astra Serif"/>
          <w:color w:val="000000" w:themeColor="text1"/>
          <w:sz w:val="25"/>
          <w:szCs w:val="25"/>
        </w:rPr>
        <w:t>в региональную программу.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Основаниями для отказа в удовлетворении указанного в абзаце втором настоящего пункта заявления являются: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</w:t>
      </w:r>
      <w:r>
        <w:rPr>
          <w:rFonts w:ascii="PT Astra Serif" w:hAnsi="PT Astra Serif"/>
          <w:color w:val="000000" w:themeColor="text1"/>
          <w:sz w:val="25"/>
          <w:szCs w:val="25"/>
          <w:lang w:val="en-US"/>
        </w:rPr>
        <w:t> </w:t>
      </w:r>
      <w:r>
        <w:rPr>
          <w:rFonts w:ascii="PT Astra Serif" w:hAnsi="PT Astra Serif"/>
          <w:color w:val="000000" w:themeColor="text1"/>
          <w:sz w:val="25"/>
          <w:szCs w:val="25"/>
        </w:rPr>
        <w:t>обращение лица, не являющегося собственником помещений в многоквартирном доме либо нанимателем жилого помещени</w:t>
      </w:r>
      <w:r>
        <w:rPr>
          <w:rFonts w:ascii="PT Astra Serif" w:hAnsi="PT Astra Serif"/>
          <w:color w:val="000000" w:themeColor="text1"/>
          <w:sz w:val="25"/>
          <w:szCs w:val="25"/>
        </w:rPr>
        <w:t>я по договору социального найма в многоквартирном доме;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</w:t>
      </w:r>
      <w:r>
        <w:rPr>
          <w:rFonts w:ascii="PT Astra Serif" w:hAnsi="PT Astra Serif"/>
          <w:color w:val="000000" w:themeColor="text1"/>
          <w:sz w:val="25"/>
          <w:szCs w:val="25"/>
          <w:lang w:val="en-US"/>
        </w:rPr>
        <w:t> </w:t>
      </w:r>
      <w:r>
        <w:rPr>
          <w:rFonts w:ascii="PT Astra Serif" w:hAnsi="PT Astra Serif"/>
          <w:color w:val="000000" w:themeColor="text1"/>
          <w:sz w:val="25"/>
          <w:szCs w:val="25"/>
        </w:rPr>
        <w:t>непредставление нового технического заключения;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3)</w:t>
      </w:r>
      <w:r>
        <w:rPr>
          <w:rFonts w:ascii="PT Astra Serif" w:hAnsi="PT Astra Serif"/>
          <w:color w:val="000000" w:themeColor="text1"/>
          <w:sz w:val="25"/>
          <w:szCs w:val="25"/>
          <w:lang w:val="en-US"/>
        </w:rPr>
        <w:t> 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наличие в новом техническом заключении вывода об износе основных конструктивных элементов (крыша, стены, фундамент) многоквартирного </w:t>
      </w:r>
      <w:r>
        <w:rPr>
          <w:rFonts w:ascii="PT Astra Serif" w:hAnsi="PT Astra Serif"/>
          <w:color w:val="000000" w:themeColor="text1"/>
          <w:sz w:val="25"/>
          <w:szCs w:val="25"/>
        </w:rPr>
        <w:t>дома свыше семидесяти процентов.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Орган местного самоуправления в течение 10 рабочих дней с даты принятия решения об удовлетворении заявления о включении многоквартирного дома в региональную программу направляет в Департамент предложение о включении многокв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артирного дома в региональную программу и новое техническое заключение. </w:t>
      </w:r>
    </w:p>
    <w:p w:rsidR="00B33E33" w:rsidRDefault="0004134A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Департамент рассматривает поступив</w:t>
      </w:r>
      <w:r>
        <w:rPr>
          <w:rFonts w:ascii="PT Astra Serif" w:hAnsi="PT Astra Serif"/>
          <w:color w:val="000000" w:themeColor="text1"/>
          <w:sz w:val="25"/>
          <w:szCs w:val="25"/>
        </w:rPr>
        <w:t>шие о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т органа местного самоуправления предложение о включении многоквартирного дома в региональную программу и новое техническое заключение в сроки, 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установленные </w:t>
      </w:r>
      <w:r>
        <w:rPr>
          <w:rFonts w:ascii="PT Astra Serif" w:hAnsi="PT Astra Serif"/>
          <w:sz w:val="25"/>
          <w:szCs w:val="25"/>
        </w:rPr>
        <w:t>Порядком внесения изменений в региональную программу капитального ремонта общего имущества в многоквартирных домах, в том числе на основании результатов обследования технического состояния многоквартирных домов, включенных в региональную прог</w:t>
      </w:r>
      <w:r>
        <w:rPr>
          <w:rFonts w:ascii="PT Astra Serif" w:hAnsi="PT Astra Serif"/>
          <w:sz w:val="25"/>
          <w:szCs w:val="25"/>
        </w:rPr>
        <w:t>рамму капитального ремонта общего имущества в многоквартирных домах, утвержденным постановлением Администрации Томской области от 10.09.2018 № 346а «Об установлении Порядка внесения изменений в региональную программу капитального ремонта общего имущества в</w:t>
      </w:r>
      <w:r>
        <w:rPr>
          <w:rFonts w:ascii="PT Astra Serif" w:hAnsi="PT Astra Serif"/>
          <w:sz w:val="25"/>
          <w:szCs w:val="25"/>
        </w:rPr>
        <w:t xml:space="preserve"> многоквартирных домах, в том числе на основании результатов обследования технического состояния многоквартирных домов, включенных в региональную программу капитального ремонта общего имущества в многоквартирных домах» (далее – Порядок внесения изменений в</w:t>
      </w:r>
      <w:r>
        <w:rPr>
          <w:rFonts w:ascii="PT Astra Serif" w:hAnsi="PT Astra Serif"/>
          <w:sz w:val="25"/>
          <w:szCs w:val="25"/>
        </w:rPr>
        <w:t>  региональную программу), и в случае отсутствия оснований для отказа в  удовлетворении указанного в абзаце втором настоящего пункта заявления принимает решение о внесении изменений в нормативный правовой акт, которым многоквартирный дом исключен из регион</w:t>
      </w:r>
      <w:r>
        <w:rPr>
          <w:rFonts w:ascii="PT Astra Serif" w:hAnsi="PT Astra Serif"/>
          <w:sz w:val="25"/>
          <w:szCs w:val="25"/>
        </w:rPr>
        <w:t xml:space="preserve">альной программы. </w:t>
      </w:r>
      <w:r>
        <w:rPr>
          <w:rFonts w:ascii="PT Astra Serif" w:hAnsi="PT Astra Serif"/>
          <w:color w:val="000000" w:themeColor="text1"/>
          <w:sz w:val="25"/>
          <w:szCs w:val="25"/>
        </w:rPr>
        <w:t>В случае наличия оснований для отказа</w:t>
      </w:r>
      <w:r>
        <w:rPr>
          <w:rFonts w:ascii="PT Astra Serif" w:hAnsi="PT Astra Serif"/>
          <w:sz w:val="25"/>
          <w:szCs w:val="25"/>
        </w:rPr>
        <w:t xml:space="preserve"> в удовлетворении указанного в абзаце втором настоящего пункта заявления</w:t>
      </w:r>
      <w:r>
        <w:rPr>
          <w:rFonts w:ascii="PT Astra Serif" w:hAnsi="PT Astra Serif"/>
          <w:color w:val="000000" w:themeColor="text1"/>
          <w:sz w:val="25"/>
          <w:szCs w:val="25"/>
        </w:rPr>
        <w:t>, предусмотренных настоящим пунктом, Департамент направляет в орган местного самоуправления мотивированное решение об отказе в</w:t>
      </w:r>
      <w:r>
        <w:rPr>
          <w:rFonts w:ascii="PT Astra Serif" w:hAnsi="PT Astra Serif"/>
          <w:sz w:val="25"/>
          <w:szCs w:val="25"/>
        </w:rPr>
        <w:t>о  </w:t>
      </w:r>
      <w:r>
        <w:rPr>
          <w:rFonts w:ascii="PT Astra Serif" w:hAnsi="PT Astra Serif"/>
          <w:sz w:val="25"/>
          <w:szCs w:val="25"/>
        </w:rPr>
        <w:t>внесении изменений в нормативный правовой акт, которым многоквартирный дом исключен из региональной программы</w:t>
      </w:r>
      <w:r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5. В случае принятия собственниками помещений </w:t>
      </w:r>
      <w:r>
        <w:rPr>
          <w:rFonts w:ascii="PT Astra Serif" w:hAnsi="PT Astra Serif"/>
          <w:sz w:val="25"/>
          <w:szCs w:val="25"/>
        </w:rPr>
        <w:t xml:space="preserve">в многоквартирном доме </w:t>
      </w:r>
      <w:r>
        <w:rPr>
          <w:rFonts w:ascii="PT Astra Serif" w:hAnsi="PT Astra Serif"/>
          <w:color w:val="000000" w:themeColor="text1"/>
          <w:sz w:val="25"/>
          <w:szCs w:val="25"/>
        </w:rPr>
        <w:t>решения, указанного в подпункте 1) пункта 2 настоящего Порядка, срок проведе</w:t>
      </w:r>
      <w:r>
        <w:rPr>
          <w:rFonts w:ascii="PT Astra Serif" w:hAnsi="PT Astra Serif"/>
          <w:color w:val="000000" w:themeColor="text1"/>
          <w:sz w:val="25"/>
          <w:szCs w:val="25"/>
        </w:rPr>
        <w:t>ния капитального ремонта или реконструкции с целью восстановления утраченных технических характеристик многоквартирного дома за счет собственных средств не  должен превышать пять лет.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В случае принятия на общем собрании собственников помещений в многокварт</w:t>
      </w:r>
      <w:r>
        <w:rPr>
          <w:rFonts w:ascii="PT Astra Serif" w:hAnsi="PT Astra Serif"/>
          <w:sz w:val="25"/>
          <w:szCs w:val="25"/>
        </w:rPr>
        <w:t xml:space="preserve">ирном доме решения, 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указанного в подпункте 2) пункта 2 </w:t>
      </w:r>
      <w:r>
        <w:rPr>
          <w:rFonts w:ascii="PT Astra Serif" w:hAnsi="PT Astra Serif"/>
          <w:sz w:val="25"/>
          <w:szCs w:val="25"/>
        </w:rPr>
        <w:t>настоящего Порядка, любой из собственников помещений в многоквартирном доме в течение трех месяцев со дня принятия решения об обращении в межведомственную комиссию вправе подать заявление о признании м</w:t>
      </w:r>
      <w:r>
        <w:rPr>
          <w:rFonts w:ascii="PT Astra Serif" w:hAnsi="PT Astra Serif"/>
          <w:sz w:val="25"/>
          <w:szCs w:val="25"/>
        </w:rPr>
        <w:t>ногоквартирного дома аварийным и подлежащим сносу или реконструкции в межведомственную комиссию в порядке, установленном Постановлением № 47.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6. Если по истечении трех месяцев со дня исключения из региональной программы многоквартирного дома собственниками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помещений </w:t>
      </w:r>
      <w:r>
        <w:rPr>
          <w:rFonts w:ascii="PT Astra Serif" w:hAnsi="PT Astra Serif"/>
          <w:sz w:val="25"/>
          <w:szCs w:val="25"/>
        </w:rPr>
        <w:t xml:space="preserve">в многоквартирном доме </w:t>
      </w:r>
      <w:r>
        <w:rPr>
          <w:rFonts w:ascii="PT Astra Serif" w:hAnsi="PT Astra Serif"/>
          <w:color w:val="000000" w:themeColor="text1"/>
          <w:sz w:val="25"/>
          <w:szCs w:val="25"/>
        </w:rPr>
        <w:t>не принято ни одно из решений, предусмотренных подпунктами 1), 2) пункта 2 настоящего Порядка, или в течение сроков, указанных в пункте 5 настоящего Порядка, принятые решения не реализованы, Департамент не позднее пяти мес</w:t>
      </w:r>
      <w:r>
        <w:rPr>
          <w:rFonts w:ascii="PT Astra Serif" w:hAnsi="PT Astra Serif"/>
          <w:color w:val="000000" w:themeColor="text1"/>
          <w:sz w:val="25"/>
          <w:szCs w:val="25"/>
        </w:rPr>
        <w:t>яцев со дня исключения из региональной программы многоквартирного дома предоставляет в межведомственную комиссию заключение, предусмотренное пунктом 45(1) Постановления № 47.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7. В случае принятия межведомственной комиссией решения о признании многоквартирн</w:t>
      </w:r>
      <w:r>
        <w:rPr>
          <w:rFonts w:ascii="PT Astra Serif" w:hAnsi="PT Astra Serif"/>
          <w:color w:val="000000" w:themeColor="text1"/>
          <w:sz w:val="25"/>
          <w:szCs w:val="25"/>
        </w:rPr>
        <w:t>ого дома аварийным и подлежащим сносу или реконструкции обеспечение жилищных прав собственников жилых помещений и нанимателей жилых помещений по договорам социального найма в многоквартирных домах осуществляется в соответствии с жилищным законодательством.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bookmarkStart w:id="6" w:name="P60"/>
      <w:bookmarkEnd w:id="6"/>
      <w:r>
        <w:rPr>
          <w:rFonts w:ascii="PT Astra Serif" w:hAnsi="PT Astra Serif"/>
          <w:color w:val="000000" w:themeColor="text1"/>
          <w:sz w:val="25"/>
          <w:szCs w:val="25"/>
        </w:rPr>
        <w:t>8. В случае принятия межведомственной комиссией решения об отсутствии оснований для признания многоквартирного дома аварийным и подлежащим сносу или реконструкции (далее – решение об отсутствии оснований) собственники помещений в многоквартирном доме не п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озднее двух месяцев с даты принятия межведомственной комиссией решения об отсутствии оснований должны принять решение </w:t>
      </w:r>
      <w:r>
        <w:rPr>
          <w:rFonts w:ascii="PT Astra Serif" w:hAnsi="PT Astra Serif"/>
          <w:sz w:val="25"/>
          <w:szCs w:val="25"/>
        </w:rPr>
        <w:t>о проведении капитального ремонта или реконструкции многоквартирного дома с целью восстановления утраченных технических характеристик</w:t>
      </w:r>
      <w:r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В с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лучае принятия решения </w:t>
      </w:r>
      <w:r>
        <w:rPr>
          <w:rFonts w:ascii="PT Astra Serif" w:hAnsi="PT Astra Serif"/>
          <w:sz w:val="25"/>
          <w:szCs w:val="25"/>
        </w:rPr>
        <w:t>о проведении капитального ремонта или реконструкции многоквартирного дома с целью восстановления утраченных технических характеристик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собственники помещений в многоквартирном доме определяют перечень мероприятий, сроки их проведения </w:t>
      </w:r>
      <w:r>
        <w:rPr>
          <w:rFonts w:ascii="PT Astra Serif" w:hAnsi="PT Astra Serif"/>
          <w:color w:val="000000" w:themeColor="text1"/>
          <w:sz w:val="25"/>
          <w:szCs w:val="25"/>
        </w:rPr>
        <w:t>и потребность в  финансировании мероприятий. При необходимости собственники помещений в  многоквартирном доме привлекают для определения и выполнения мероприятий специализированную организацию.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9. Источниками финансирования </w:t>
      </w:r>
      <w:r>
        <w:rPr>
          <w:rFonts w:ascii="PT Astra Serif" w:hAnsi="PT Astra Serif"/>
          <w:sz w:val="25"/>
          <w:szCs w:val="25"/>
        </w:rPr>
        <w:t>капитального ремонта или реконст</w:t>
      </w:r>
      <w:r>
        <w:rPr>
          <w:rFonts w:ascii="PT Astra Serif" w:hAnsi="PT Astra Serif"/>
          <w:sz w:val="25"/>
          <w:szCs w:val="25"/>
        </w:rPr>
        <w:t xml:space="preserve">рукции с целью восстановления утраченных технических характеристик многоквартирных домов, сноса многоквартирных домов </w:t>
      </w:r>
      <w:r>
        <w:rPr>
          <w:rFonts w:ascii="PT Astra Serif" w:hAnsi="PT Astra Serif"/>
          <w:color w:val="000000" w:themeColor="text1"/>
          <w:sz w:val="25"/>
          <w:szCs w:val="25"/>
        </w:rPr>
        <w:t>являются: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средства собственников помещений в многоквартирном доме;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средства фонда капитального ремонта, уплаченные собственниками помещени</w:t>
      </w:r>
      <w:r>
        <w:rPr>
          <w:rFonts w:ascii="PT Astra Serif" w:hAnsi="PT Astra Serif"/>
          <w:color w:val="000000" w:themeColor="text1"/>
          <w:sz w:val="25"/>
          <w:szCs w:val="25"/>
        </w:rPr>
        <w:t>й в многоквартирном доме, исключенном из региональной программы;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иные, не запрещенные законодательством источники финансирования.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В случае принятия органом местного самоуправления решения о </w:t>
      </w:r>
      <w:r>
        <w:rPr>
          <w:rFonts w:ascii="PT Astra Serif" w:hAnsi="PT Astra Serif"/>
          <w:sz w:val="25"/>
          <w:szCs w:val="25"/>
        </w:rPr>
        <w:t xml:space="preserve">комплексном развитии территории жилой застройки </w:t>
      </w:r>
      <w:r>
        <w:rPr>
          <w:rFonts w:ascii="PT Astra Serif" w:hAnsi="PT Astra Serif" w:cs="Arial"/>
          <w:bCs/>
          <w:sz w:val="25"/>
          <w:szCs w:val="25"/>
        </w:rPr>
        <w:t>обеспечение жилищн</w:t>
      </w:r>
      <w:r>
        <w:rPr>
          <w:rFonts w:ascii="PT Astra Serif" w:hAnsi="PT Astra Serif" w:cs="Arial"/>
          <w:bCs/>
          <w:sz w:val="25"/>
          <w:szCs w:val="25"/>
        </w:rPr>
        <w:t>ых прав граждан осуществляется в соответствии с жилищным законодательством.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10. В случае если после проведения работ </w:t>
      </w:r>
      <w:r>
        <w:rPr>
          <w:rFonts w:ascii="PT Astra Serif" w:hAnsi="PT Astra Serif"/>
          <w:sz w:val="25"/>
          <w:szCs w:val="25"/>
        </w:rPr>
        <w:t xml:space="preserve">по капитальному ремонту или реконструкции многоквартирного дома 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специализированной организацией выдано новое техническое заключение, любой </w:t>
      </w:r>
      <w:r>
        <w:rPr>
          <w:rFonts w:ascii="PT Astra Serif" w:hAnsi="PT Astra Serif"/>
          <w:color w:val="000000" w:themeColor="text1"/>
          <w:sz w:val="25"/>
          <w:szCs w:val="25"/>
        </w:rPr>
        <w:t>собственник помещений или наниматель жилых помещений по договору социального найма в многоквартирных домах вправе направить в орган местного самоуправления заявление о включении многоквартирного дома в региональную программу с приложением нового техническо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го заключения, подтверждающего, что физический износ основных конструктивных элементов (крыша, стены, фундамент) многоквартирного дома не превышает семидесяти процентов, и документов, подтверждающих проведение работ </w:t>
      </w:r>
      <w:r>
        <w:rPr>
          <w:rFonts w:ascii="PT Astra Serif" w:hAnsi="PT Astra Serif"/>
          <w:sz w:val="25"/>
          <w:szCs w:val="25"/>
        </w:rPr>
        <w:t>по капитальному ремонту или реконструкци</w:t>
      </w:r>
      <w:r>
        <w:rPr>
          <w:rFonts w:ascii="PT Astra Serif" w:hAnsi="PT Astra Serif"/>
          <w:sz w:val="25"/>
          <w:szCs w:val="25"/>
        </w:rPr>
        <w:t>и многоквартирного дома (</w:t>
      </w:r>
      <w:r>
        <w:rPr>
          <w:rFonts w:ascii="PT Astra Serif" w:hAnsi="PT Astra Serif"/>
          <w:color w:val="000000" w:themeColor="text1"/>
          <w:sz w:val="25"/>
          <w:szCs w:val="25"/>
        </w:rPr>
        <w:t>договоров подряда на выполнение работ по капитальному ремонту или  реконструкции многоквартирного дома, актов выполненных работ).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11. Орган местного самоуправления рассматривает заявление, указанное в  пункте 10 настоящего Порядка,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в течение 30 календарных дней с даты его поступления и принимает мотивированное решение об удовлетворении заявления о  включении многоквартирного дома в региональную программу либо об отказе в  удовлетворении заявления о включении многоквартирного дома в </w:t>
      </w:r>
      <w:r>
        <w:rPr>
          <w:rFonts w:ascii="PT Astra Serif" w:hAnsi="PT Astra Serif"/>
          <w:color w:val="000000" w:themeColor="text1"/>
          <w:sz w:val="25"/>
          <w:szCs w:val="25"/>
        </w:rPr>
        <w:t>региональную программу и направляет заявителю уведомление об удовлетворении заявления о  включении многоквартирного дома в региональную программу либо об отказе в  удовлетворении заявления о включении многоквартирного дома в региональную программу.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12. Осн</w:t>
      </w:r>
      <w:r>
        <w:rPr>
          <w:rFonts w:ascii="PT Astra Serif" w:hAnsi="PT Astra Serif"/>
          <w:color w:val="000000" w:themeColor="text1"/>
          <w:sz w:val="25"/>
          <w:szCs w:val="25"/>
        </w:rPr>
        <w:t>ованиями для отказа в удовлетворении заявления о включении многоквартирного дома в региональную программу являются: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</w:t>
      </w:r>
      <w:r>
        <w:rPr>
          <w:rFonts w:ascii="PT Astra Serif" w:hAnsi="PT Astra Serif"/>
          <w:color w:val="000000" w:themeColor="text1"/>
          <w:sz w:val="25"/>
          <w:szCs w:val="25"/>
          <w:lang w:val="en-US"/>
        </w:rPr>
        <w:t> 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обращение лица, не являющегося собственником помещений либо нанимателем жилого помещения по договору социального найма в многоквартирном </w:t>
      </w:r>
      <w:r>
        <w:rPr>
          <w:rFonts w:ascii="PT Astra Serif" w:hAnsi="PT Astra Serif"/>
          <w:color w:val="000000" w:themeColor="text1"/>
          <w:sz w:val="25"/>
          <w:szCs w:val="25"/>
        </w:rPr>
        <w:t>доме, указанном в пункте 1 настоящего Порядка;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</w:t>
      </w:r>
      <w:r>
        <w:rPr>
          <w:rFonts w:ascii="PT Astra Serif" w:hAnsi="PT Astra Serif"/>
          <w:color w:val="000000" w:themeColor="text1"/>
          <w:sz w:val="25"/>
          <w:szCs w:val="25"/>
          <w:lang w:val="en-US"/>
        </w:rPr>
        <w:t> </w:t>
      </w:r>
      <w:r>
        <w:rPr>
          <w:rFonts w:ascii="PT Astra Serif" w:hAnsi="PT Astra Serif"/>
          <w:color w:val="000000" w:themeColor="text1"/>
          <w:sz w:val="25"/>
          <w:szCs w:val="25"/>
        </w:rPr>
        <w:t>непредставление нового технического заключения;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3)</w:t>
      </w:r>
      <w:r>
        <w:rPr>
          <w:rFonts w:ascii="PT Astra Serif" w:hAnsi="PT Astra Serif"/>
          <w:color w:val="000000" w:themeColor="text1"/>
          <w:sz w:val="25"/>
          <w:szCs w:val="25"/>
          <w:lang w:val="en-US"/>
        </w:rPr>
        <w:t> 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наличие в новом техническом заключении вывода об износе основных конструктивных элементов (крыша, стены, фундамент) многоквартирного дома свыше семидесяти </w:t>
      </w:r>
      <w:r>
        <w:rPr>
          <w:rFonts w:ascii="PT Astra Serif" w:hAnsi="PT Astra Serif"/>
          <w:color w:val="000000" w:themeColor="text1"/>
          <w:sz w:val="25"/>
          <w:szCs w:val="25"/>
        </w:rPr>
        <w:t>процентов;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4)</w:t>
      </w:r>
      <w:r>
        <w:rPr>
          <w:rFonts w:ascii="PT Astra Serif" w:hAnsi="PT Astra Serif"/>
          <w:color w:val="000000" w:themeColor="text1"/>
          <w:sz w:val="25"/>
          <w:szCs w:val="25"/>
          <w:lang w:val="en-US"/>
        </w:rPr>
        <w:t> </w:t>
      </w:r>
      <w:r>
        <w:rPr>
          <w:rFonts w:ascii="PT Astra Serif" w:hAnsi="PT Astra Serif"/>
          <w:color w:val="000000" w:themeColor="text1"/>
          <w:sz w:val="25"/>
          <w:szCs w:val="25"/>
        </w:rPr>
        <w:t>отсутствие документов, подтверждающих проведение работ по капитальному ремонту или реконструкции многоквартирного дома (договоров подряда на выполнение работ по капитальному ремонту или реконструкции многоквартирного дома, актов выполненных р</w:t>
      </w:r>
      <w:r>
        <w:rPr>
          <w:rFonts w:ascii="PT Astra Serif" w:hAnsi="PT Astra Serif"/>
          <w:color w:val="000000" w:themeColor="text1"/>
          <w:sz w:val="25"/>
          <w:szCs w:val="25"/>
        </w:rPr>
        <w:t>абот).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13. В течение 10 рабочих дней с даты принятия органом местного самоуправления решения об удовлетворении заявления о включении многоквартирного дома в региональную программу орган местного самоуправления направляет в Департамент предложение о включен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ии многоквартирного дома в  региональную программу и копии заявления о включении многоквартирного дома в  региональную программу, нового технического заключения, документов, подтверждающих проведение работ </w:t>
      </w:r>
      <w:r>
        <w:rPr>
          <w:rFonts w:ascii="PT Astra Serif" w:hAnsi="PT Astra Serif"/>
          <w:sz w:val="25"/>
          <w:szCs w:val="25"/>
        </w:rPr>
        <w:t>по капитальному ремонту или реконструкции многоква</w:t>
      </w:r>
      <w:r>
        <w:rPr>
          <w:rFonts w:ascii="PT Astra Serif" w:hAnsi="PT Astra Serif"/>
          <w:sz w:val="25"/>
          <w:szCs w:val="25"/>
        </w:rPr>
        <w:t>ртирного дома (</w:t>
      </w:r>
      <w:r>
        <w:rPr>
          <w:rFonts w:ascii="PT Astra Serif" w:hAnsi="PT Astra Serif"/>
          <w:color w:val="000000" w:themeColor="text1"/>
          <w:sz w:val="25"/>
          <w:szCs w:val="25"/>
        </w:rPr>
        <w:t>договоров подряда на выполнение работ по капитальному ремонту или реконструкции многоквартирного дома, актов выполненных работ).</w:t>
      </w:r>
      <w:bookmarkStart w:id="7" w:name="P68"/>
      <w:bookmarkEnd w:id="7"/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 xml:space="preserve">14. Департамент рассматривает документы, указанные в пункте 13 настоящего Порядка, в сроки, установленные </w:t>
      </w:r>
      <w:r>
        <w:rPr>
          <w:rFonts w:ascii="PT Astra Serif" w:hAnsi="PT Astra Serif"/>
          <w:sz w:val="25"/>
          <w:szCs w:val="25"/>
        </w:rPr>
        <w:t>Порядк</w:t>
      </w:r>
      <w:r>
        <w:rPr>
          <w:rFonts w:ascii="PT Astra Serif" w:hAnsi="PT Astra Serif"/>
          <w:sz w:val="25"/>
          <w:szCs w:val="25"/>
        </w:rPr>
        <w:t>ом внесения изменений в  региональную программу, и в случае отсутствия оснований для отказа в  удовлетворении заявления о включении многоквартирного дома в региональную программу, указанных в пункте 12 настоящего Порядка, принимает решение о  внесении изме</w:t>
      </w:r>
      <w:r>
        <w:rPr>
          <w:rFonts w:ascii="PT Astra Serif" w:hAnsi="PT Astra Serif"/>
          <w:sz w:val="25"/>
          <w:szCs w:val="25"/>
        </w:rPr>
        <w:t>нений в региональную программу в соответствии с пунктом 16 Порядка внесения изменений в региональную программу.</w:t>
      </w:r>
      <w:r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</w:p>
    <w:p w:rsidR="00B33E33" w:rsidRDefault="0004134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В случае наличия оснований</w:t>
      </w:r>
      <w:r>
        <w:rPr>
          <w:rFonts w:ascii="PT Astra Serif" w:hAnsi="PT Astra Serif"/>
          <w:sz w:val="25"/>
          <w:szCs w:val="25"/>
        </w:rPr>
        <w:t xml:space="preserve"> для отказа в удовлетворении заявления о  включении многоквартирного дома в региональную программу</w:t>
      </w:r>
      <w:r>
        <w:rPr>
          <w:rFonts w:ascii="PT Astra Serif" w:hAnsi="PT Astra Serif"/>
          <w:color w:val="000000" w:themeColor="text1"/>
          <w:sz w:val="25"/>
          <w:szCs w:val="25"/>
        </w:rPr>
        <w:t>, указанных в  пунк</w:t>
      </w:r>
      <w:r>
        <w:rPr>
          <w:rFonts w:ascii="PT Astra Serif" w:hAnsi="PT Astra Serif"/>
          <w:color w:val="000000" w:themeColor="text1"/>
          <w:sz w:val="25"/>
          <w:szCs w:val="25"/>
        </w:rPr>
        <w:t>те 12 настоящего Порядка, Департамент направляет в орган местного самоуправления мотивированное решение об отказе во включении многоквартирного дома в региональную программу.</w:t>
      </w:r>
    </w:p>
    <w:sectPr w:rsidR="00B33E33">
      <w:headerReference w:type="first" r:id="rId13"/>
      <w:pgSz w:w="11907" w:h="16840"/>
      <w:pgMar w:top="1134" w:right="850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E33" w:rsidRDefault="0004134A">
      <w:r>
        <w:separator/>
      </w:r>
    </w:p>
  </w:endnote>
  <w:endnote w:type="continuationSeparator" w:id="0">
    <w:p w:rsidR="00B33E33" w:rsidRDefault="0004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E33" w:rsidRDefault="00B33E33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E33" w:rsidRDefault="0004134A">
      <w:r>
        <w:separator/>
      </w:r>
    </w:p>
  </w:footnote>
  <w:footnote w:type="continuationSeparator" w:id="0">
    <w:p w:rsidR="00B33E33" w:rsidRDefault="00041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E33" w:rsidRDefault="0004134A">
    <w:pPr>
      <w:pStyle w:val="ac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B33E33" w:rsidRDefault="00B33E33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E33" w:rsidRDefault="0004134A">
    <w:pPr>
      <w:pStyle w:val="ac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>
      <w:rPr>
        <w:rStyle w:val="afb"/>
        <w:rFonts w:ascii="PT Astra Serif" w:hAnsi="PT Astra Serif"/>
        <w:b w:val="0"/>
        <w:sz w:val="24"/>
      </w:rPr>
      <w:fldChar w:fldCharType="begin"/>
    </w:r>
    <w:r>
      <w:rPr>
        <w:rStyle w:val="afb"/>
        <w:rFonts w:ascii="PT Astra Serif" w:hAnsi="PT Astra Serif"/>
        <w:b w:val="0"/>
        <w:sz w:val="24"/>
      </w:rPr>
      <w:instrText xml:space="preserve">PAGE  </w:instrText>
    </w:r>
    <w:r>
      <w:rPr>
        <w:rStyle w:val="afb"/>
        <w:rFonts w:ascii="PT Astra Serif" w:hAnsi="PT Astra Serif"/>
        <w:b w:val="0"/>
        <w:sz w:val="24"/>
      </w:rPr>
      <w:fldChar w:fldCharType="separate"/>
    </w:r>
    <w:r>
      <w:rPr>
        <w:rStyle w:val="afb"/>
        <w:rFonts w:ascii="PT Astra Serif" w:hAnsi="PT Astra Serif"/>
        <w:b w:val="0"/>
        <w:noProof/>
        <w:sz w:val="24"/>
      </w:rPr>
      <w:t>6</w:t>
    </w:r>
    <w:r>
      <w:rPr>
        <w:rStyle w:val="afb"/>
        <w:rFonts w:ascii="PT Astra Serif" w:hAnsi="PT Astra Serif"/>
        <w:b w:val="0"/>
        <w:sz w:val="24"/>
      </w:rPr>
      <w:fldChar w:fldCharType="end"/>
    </w:r>
  </w:p>
  <w:p w:rsidR="00B33E33" w:rsidRDefault="00B33E33">
    <w:pPr>
      <w:pStyle w:val="ac"/>
      <w:ind w:firstLine="0"/>
      <w:rPr>
        <w:rFonts w:ascii="PT Astra Serif" w:hAnsi="PT Astra Serif"/>
        <w:b w:val="0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E33" w:rsidRDefault="0004134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B33E33" w:rsidRDefault="0004134A">
    <w:pPr>
      <w:pStyle w:val="ac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B33E33" w:rsidRDefault="0004134A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33E33" w:rsidRDefault="00B33E33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E33" w:rsidRDefault="00B33E33">
    <w:pPr>
      <w:pStyle w:val="ac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64E2E"/>
    <w:multiLevelType w:val="hybridMultilevel"/>
    <w:tmpl w:val="0BD09000"/>
    <w:lvl w:ilvl="0" w:tplc="FB86D334">
      <w:start w:val="1"/>
      <w:numFmt w:val="decimal"/>
      <w:lvlText w:val="%1."/>
      <w:lvlJc w:val="left"/>
      <w:pPr>
        <w:ind w:left="1067" w:hanging="360"/>
      </w:pPr>
      <w:rPr>
        <w:rFonts w:hint="default"/>
      </w:rPr>
    </w:lvl>
    <w:lvl w:ilvl="1" w:tplc="1C569254">
      <w:start w:val="1"/>
      <w:numFmt w:val="lowerLetter"/>
      <w:lvlText w:val="%2."/>
      <w:lvlJc w:val="left"/>
      <w:pPr>
        <w:ind w:left="1787" w:hanging="360"/>
      </w:pPr>
    </w:lvl>
    <w:lvl w:ilvl="2" w:tplc="055275AA">
      <w:start w:val="1"/>
      <w:numFmt w:val="lowerRoman"/>
      <w:lvlText w:val="%3."/>
      <w:lvlJc w:val="right"/>
      <w:pPr>
        <w:ind w:left="2507" w:hanging="180"/>
      </w:pPr>
    </w:lvl>
    <w:lvl w:ilvl="3" w:tplc="6D20CA74">
      <w:start w:val="1"/>
      <w:numFmt w:val="decimal"/>
      <w:lvlText w:val="%4."/>
      <w:lvlJc w:val="left"/>
      <w:pPr>
        <w:ind w:left="3227" w:hanging="360"/>
      </w:pPr>
    </w:lvl>
    <w:lvl w:ilvl="4" w:tplc="4AE22B66">
      <w:start w:val="1"/>
      <w:numFmt w:val="lowerLetter"/>
      <w:lvlText w:val="%5."/>
      <w:lvlJc w:val="left"/>
      <w:pPr>
        <w:ind w:left="3947" w:hanging="360"/>
      </w:pPr>
    </w:lvl>
    <w:lvl w:ilvl="5" w:tplc="3684C362">
      <w:start w:val="1"/>
      <w:numFmt w:val="lowerRoman"/>
      <w:lvlText w:val="%6."/>
      <w:lvlJc w:val="right"/>
      <w:pPr>
        <w:ind w:left="4667" w:hanging="180"/>
      </w:pPr>
    </w:lvl>
    <w:lvl w:ilvl="6" w:tplc="2BEA2F0A">
      <w:start w:val="1"/>
      <w:numFmt w:val="decimal"/>
      <w:lvlText w:val="%7."/>
      <w:lvlJc w:val="left"/>
      <w:pPr>
        <w:ind w:left="5387" w:hanging="360"/>
      </w:pPr>
    </w:lvl>
    <w:lvl w:ilvl="7" w:tplc="F33866FE">
      <w:start w:val="1"/>
      <w:numFmt w:val="lowerLetter"/>
      <w:lvlText w:val="%8."/>
      <w:lvlJc w:val="left"/>
      <w:pPr>
        <w:ind w:left="6107" w:hanging="360"/>
      </w:pPr>
    </w:lvl>
    <w:lvl w:ilvl="8" w:tplc="7C5AE8FA">
      <w:start w:val="1"/>
      <w:numFmt w:val="lowerRoman"/>
      <w:lvlText w:val="%9."/>
      <w:lvlJc w:val="right"/>
      <w:pPr>
        <w:ind w:left="6827" w:hanging="180"/>
      </w:pPr>
    </w:lvl>
  </w:abstractNum>
  <w:abstractNum w:abstractNumId="1">
    <w:nsid w:val="2A401852"/>
    <w:multiLevelType w:val="hybridMultilevel"/>
    <w:tmpl w:val="5994182E"/>
    <w:lvl w:ilvl="0" w:tplc="0136F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1CCCDB0">
      <w:start w:val="1"/>
      <w:numFmt w:val="lowerLetter"/>
      <w:lvlText w:val="%2."/>
      <w:lvlJc w:val="left"/>
      <w:pPr>
        <w:ind w:left="1789" w:hanging="360"/>
      </w:pPr>
    </w:lvl>
    <w:lvl w:ilvl="2" w:tplc="51466B64">
      <w:start w:val="1"/>
      <w:numFmt w:val="lowerRoman"/>
      <w:lvlText w:val="%3."/>
      <w:lvlJc w:val="right"/>
      <w:pPr>
        <w:ind w:left="2509" w:hanging="180"/>
      </w:pPr>
    </w:lvl>
    <w:lvl w:ilvl="3" w:tplc="7658AC10">
      <w:start w:val="1"/>
      <w:numFmt w:val="decimal"/>
      <w:lvlText w:val="%4."/>
      <w:lvlJc w:val="left"/>
      <w:pPr>
        <w:ind w:left="3229" w:hanging="360"/>
      </w:pPr>
    </w:lvl>
    <w:lvl w:ilvl="4" w:tplc="4EEAE24C">
      <w:start w:val="1"/>
      <w:numFmt w:val="lowerLetter"/>
      <w:lvlText w:val="%5."/>
      <w:lvlJc w:val="left"/>
      <w:pPr>
        <w:ind w:left="3949" w:hanging="360"/>
      </w:pPr>
    </w:lvl>
    <w:lvl w:ilvl="5" w:tplc="FA9E307E">
      <w:start w:val="1"/>
      <w:numFmt w:val="lowerRoman"/>
      <w:lvlText w:val="%6."/>
      <w:lvlJc w:val="right"/>
      <w:pPr>
        <w:ind w:left="4669" w:hanging="180"/>
      </w:pPr>
    </w:lvl>
    <w:lvl w:ilvl="6" w:tplc="A1D0399A">
      <w:start w:val="1"/>
      <w:numFmt w:val="decimal"/>
      <w:lvlText w:val="%7."/>
      <w:lvlJc w:val="left"/>
      <w:pPr>
        <w:ind w:left="5389" w:hanging="360"/>
      </w:pPr>
    </w:lvl>
    <w:lvl w:ilvl="7" w:tplc="1334F73E">
      <w:start w:val="1"/>
      <w:numFmt w:val="lowerLetter"/>
      <w:lvlText w:val="%8."/>
      <w:lvlJc w:val="left"/>
      <w:pPr>
        <w:ind w:left="6109" w:hanging="360"/>
      </w:pPr>
    </w:lvl>
    <w:lvl w:ilvl="8" w:tplc="D15A111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E33"/>
    <w:rsid w:val="0004134A"/>
    <w:rsid w:val="00B3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ad">
    <w:name w:val="Нижний колонтитул Знак"/>
    <w:basedOn w:val="a0"/>
    <w:link w:val="ae"/>
    <w:uiPriority w:val="99"/>
  </w:style>
  <w:style w:type="character" w:customStyle="1" w:styleId="af">
    <w:name w:val="Название объекта Знак"/>
    <w:basedOn w:val="a0"/>
    <w:link w:val="af0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0">
    <w:name w:val="caption"/>
    <w:basedOn w:val="a"/>
    <w:next w:val="a"/>
    <w:link w:val="af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pPr>
      <w:widowControl w:val="0"/>
    </w:pPr>
    <w:rPr>
      <w:rFonts w:ascii="Calibri" w:eastAsiaTheme="minorEastAsia" w:hAnsi="Calibri" w:cs="Calibri"/>
      <w:sz w:val="22"/>
      <w:szCs w:val="22"/>
    </w:rPr>
  </w:style>
  <w:style w:type="character" w:styleId="aff2">
    <w:name w:val="Hyperlink"/>
    <w:basedOn w:val="a0"/>
    <w:uiPriority w:val="99"/>
    <w:semiHidden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ad">
    <w:name w:val="Нижний колонтитул Знак"/>
    <w:basedOn w:val="a0"/>
    <w:link w:val="ae"/>
    <w:uiPriority w:val="99"/>
  </w:style>
  <w:style w:type="character" w:customStyle="1" w:styleId="af">
    <w:name w:val="Название объекта Знак"/>
    <w:basedOn w:val="a0"/>
    <w:link w:val="af0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0">
    <w:name w:val="caption"/>
    <w:basedOn w:val="a"/>
    <w:next w:val="a"/>
    <w:link w:val="af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pPr>
      <w:widowControl w:val="0"/>
    </w:pPr>
    <w:rPr>
      <w:rFonts w:ascii="Calibri" w:eastAsiaTheme="minorEastAsia" w:hAnsi="Calibri" w:cs="Calibri"/>
      <w:sz w:val="22"/>
      <w:szCs w:val="22"/>
    </w:rPr>
  </w:style>
  <w:style w:type="character" w:styleId="aff2">
    <w:name w:val="Hyperlink"/>
    <w:basedOn w:val="a0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3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C081A-E590-4230-9FDA-8DF001314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2824</Words>
  <Characters>16102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2026-07-03T05:17:00Z</dcterms:created>
  <dcterms:modified xsi:type="dcterms:W3CDTF">2026-07-03T05:17:00Z</dcterms:modified>
  <cp:version>917504</cp:version>
</cp:coreProperties>
</file>