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charts/chart11.xml" ContentType="application/vnd.openxmlformats-officedocument.drawingml.chart+xml"/>
  <Override PartName="/word/charts/chart10.xml" ContentType="application/vnd.openxmlformats-officedocument.drawingml.chart+xml"/>
  <Override PartName="/word/charts/chart9.xml" ContentType="application/vnd.openxmlformats-officedocument.drawingml.chart+xml"/>
  <Override PartName="/word/charts/chart8.xml" ContentType="application/vnd.openxmlformats-officedocument.drawingml.chart+xml"/>
  <Override PartName="/word/charts/chart7.xml" ContentType="application/vnd.openxmlformats-officedocument.drawingml.chart+xml"/>
  <Override PartName="/word/charts/chart6.xml" ContentType="application/vnd.openxmlformats-officedocument.drawingml.chart+xml"/>
  <Override PartName="/word/charts/chart5.xml" ContentType="application/vnd.openxmlformats-officedocument.drawingml.chart+xml"/>
  <Override PartName="/word/charts/chart2.xml" ContentType="application/vnd.openxmlformats-officedocument.drawingml.chart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.xml" ContentType="application/vnd.openxmlformats-officedocument.drawingml.chart+xml"/>
  <Override PartName="/word/charts/chart3.xml" ContentType="application/vnd.openxmlformats-officedocument.drawingml.chart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Override1.xml" ContentType="application/vnd.openxmlformats-officedocument.themeOverrid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2.xml" ContentType="application/vnd.openxmlformats-officedocument.drawingml.chart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ДОКЛАД КОМИССИИ ПО КООРДИНАЦИИ РАБОТЫ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</w:p>
    <w:p>
      <w:pPr>
        <w:contextualSpacing/>
        <w:jc w:val="center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ПРОТИВОДЕЙСТВИЮ КОРРУПЦИИ В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</w:p>
    <w:p>
      <w:pPr>
        <w:contextualSpacing/>
        <w:jc w:val="center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ДЕЯТЕЛЬНОСТИ В ОБЛАСТИ ПРОТИВОДЕЙСТВИЯ КОРРУПЦИИ</w:t>
      </w:r>
      <w:r/>
      <w:r/>
    </w:p>
    <w:p>
      <w:pPr>
        <w:contextualSpacing/>
        <w:jc w:val="center"/>
        <w:shd w:val="clear" w:color="auto" w:fill="ffffff" w:themeFill="background1"/>
        <w:rPr>
          <w:rFonts w:ascii="PT Astra Serif" w:hAnsi="PT Astra Serif" w:eastAsia="PT Astra Serif" w:cs="PT Astra Serif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(ЗА 202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</w:t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bookmarkEnd w:id="0"/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ГОД)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contextualSpacing/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Мониторинг антикоррупционного законодательства, принятие нормативных правовых актов Томской области, направленных на противодействие коррупции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области (далее – Департамент) разработано 5 правовых актов, направленных на противодействие коррупции: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распоряжение Администрации Томской области от 10.02.2025 № 90-ра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«Об утверждении региональной программы противодействия коррупции                       в Томской области на 2025 – 2028 годы»;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распоряжение Администрации Томской области от 28.03.2025 № 238-ра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«Об установлении Порядка представления лицами, поступающими на должность руководителя областного государственного учреждения, в отношении которого функции и полномочия учредителя осуществляет Администрация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руководителями областных государственных учреждений, в отношении которых функции и полномочия учредителя осуществляет Администрация Томской области, сведений о своих доходах, об имуществе и обязательствах имущественного характера, а также 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доходах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об имуществе и обязательствах имущественного характера своих супруга (супруги) и несовершеннолетних детей»;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распоряжение Администрации Томской области от 18.07.2025 № 502-ра «Об утверждении мер по предупреждению коррупции для работников Администрации Томской области»;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распоряжение Администрации Томской области от 05.08.2025 № 537-ра     «Об  утвержде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нии Порядка размещения сведений о доходах, об имуществе                            и обязательствах имущественного характера руководителей областных государственных учреждений Томской области, а также сведений о доходах,                     об имуществе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обязательствах имущественного характера своих супруга (супруги)            и несовершеннолетних детей на официальных сайтах исполнительных органов Томской области, осуществляющих функции и полномочия учредителей областных государственных учреждений Томской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области, и предоставления этих сведений средствам массовой информации для опубликования»;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 распоряжение Администрации Томской области от 15.10.2025 № 708-ра           «Об утверждении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Кодекса этики и служебного поведения государственных гражданских служащих Томской области, проходящих службу в Администрации Томской области, работников Администрации Томской области, осуществляющих трудовую деятельность на основании  трудового договора».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этого Департаментом подготовлено 1 заключение на проект распоряжения Администрации Томской области и 8 заключений на проекты законов Томской 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 отчетный период лицами, ответственными за профилактику коррупционных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х правонарушений во всех органах государственной власти, органах местного самоуправления Томской области,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мониторинга антикоррупционного законодательства                               в 2025 году органами местного самоуправления Томской области принято 22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нормативных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правовых акта, направленных на противодействие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Анализ содерж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ания действующих нормативных правовых и иных актов             в сфере противодействия коррупции и приведение их в соответствие                               с законодательством Российской Федерации по вопросам противодействия коррупции (при необходимости)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                  в 2025 году внесены соответствующие изменения в 11 правовых актов Томской области: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постановление Администрации Томской области от 28.02.2013 № 65а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«Об утверждении Положения о предоставлении лицами, поступающими                            на должность руководителя областного государственного учреждения                    Томской области, и руководителями областных государственных учреждений Томской об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            (3 изменения: постановление от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16.01.2025 № 8а, постановление от 08.04.2025                   № 156а, постановление от 28.08.2025 № 397а);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постановление Администрации Томской области от 16.09.2010 № 180а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 Комиссии Администрации Томской области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государственных гражданских служащих Томск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интересов» (2 изменения: постановление от 27.02.2025 № 76а, постановление от 28.08.2025 № 397а);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распоряжение Губернатора Томской области от 24.07.2020 № 158-р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«Об определении уполномоченного должностного лица» (распоряжение от 20.05.2025 № 136-р);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постановление Губернатора Томской области от 11.06.2009 № 37 «Об 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проходящего службу в Администрации Томской области, либо руководителя исполнительного органа Томской области к совершению коррупционных правонарушений и организации проверки этих сведений» (постановление                                от 18.07.2025 № 55);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 постановление Губернатора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 от 20.04.2010 № 29 «Об обеспечении реализации статей 8, 8-1 Закона Томской области                                    от 9 декабря 2005 года № 231-ОЗ «О государственной гражданской службе Томской области» (постановление от 18.07.2025 № 55);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6) постановление Губернатора Томской области от 25.04.2017 № 36 «Об утверждении Положения о Департаменте по профилактике коррупционных                   и иных правонарушений Администрации Томской области» (постановление от 18.07.2025 № 55);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7) распоряжение Губернатора Томской области от 17.12.2009 № 365-р «Об утверждении карты коррупционных рисков исполнительных органов Томской области» (2 изменения: распоряжение от 29.09.2025 № 263-р, распоряжение от 19.12.2025 № 340-р);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8) распоряжение Администрации Томской области от 07.02.2023 № 77-ра «Об определении Порядка использования государственной информационной системы в области противодействия корруп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ции «Посейдон» в Администрации Томской области и Перечня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«Посейдон» (распоряжение от 29.09.2025 № 658-ра);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9) постановление Администрации Томской области от 13.01.2010 № 4а                 «Об утвержде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нии Положения о порядке осуществления проверки достоверности                  и полноты сведений, представляемых государственными гражданскими служащими Томской области, занимающими должности в исполнительных органах Томской области, гражданами, претендующ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ими на замещение должностей государственной гражданской службы Томской области в исполнительных органах Томской области,            и соблюдения государственными гражданскими служащими Томской области, занимающими должности в исполнительных органах Томской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области, требований             к служебному поведению» (постановление от 14.11.2025 № 518а);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10) постановление Администрации Томской области от 28.02.2013 № 64а               «Об утверждении Положения о порядке осуществления проверки достоверности                            и полноты сведений о доход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ах, об имуществе и обязательствах имущественного характера, предоставляемых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должности» (постановление от 14.11.2025 № 518а);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11) распоряжение Администрации Томской области от 18.07.2025 № 502-ра «Об утверждении мер по предупреждению коррупции для работников Администрации Томской области» (постановление от 18.12.2025 № 852-ра).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80"/>
        <w:ind w:firstLine="709"/>
        <w:jc w:val="both"/>
        <w:spacing w:before="0" w:beforeAutospacing="0" w:after="0" w:afterAutospacing="0" w:line="288" w:lineRule="atLeast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органами местного самоуправления Томской области приведено               в соответствие с законодательством Российской Федерации 59 действующих нормативных правовых и иных актов в сфере противодействия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с соблюдением требований законодательства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 государственной гражданской и муниципальной службе, о противодействии коррупции проверок достоверности и полноты сведений о доходах, расходах, об имуществе                             и обязательствах имущественного характера, представляемых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служащими  Томской области; лицами, замещающими государственные должности Томской области и муниципальные должности в Томской области; гражданами, претендующими на замещение указанных должностей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органах государственной власти Томской области организовано проведение 36 проверок достоверности и полноты сведений о доходах, расходах, об имуществе и обязательствах имущественного характера, из них: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9072" w:type="dxa"/>
        <w:tblInd w:w="8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11 -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по профилактике коррупционных и иных правонарушений Админис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трации Томской области (их них:                         в отношении 2 лиц, замещающих государственные должности Томской области, 8 государственных гражданских служащих Администрации Томской области, 1 руководителя исполнительного органа Томской области); 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градостроительного развития Томской области;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инвестиционной и промышленной политики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образования Томской области;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лесного хозяйства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природных ресурсов и охраны окружающей среды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1188"/>
        </w:trPr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Департаментом транспорта, дорожной деятельности и связи Томской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области;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Инспекцией государственного технического надзора Томской области;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Законодательной Думой Томской области.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left="425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909095" cy="4563373"/>
            <wp:effectExtent l="0" t="0" r="0" b="8890"/>
            <wp:docPr id="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органах местного самоуправления Томской области проведено 116 проверок достоверности и полноты сведений о доходах, расходах, об имуществе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обязательствах имущественного характера, из них: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tbl>
      <w:tblPr>
        <w:tblStyle w:val="805"/>
        <w:tblW w:w="0" w:type="auto"/>
        <w:jc w:val="center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558"/>
        <w:gridCol w:w="7041"/>
      </w:tblGrid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Парабельский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муниципальный район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Городской округ Стрежевой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7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Колпашевский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муниципальный район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55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13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Шегарский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муниципальный район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69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34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  Городской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округ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ЗАТО Северск Томской области,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jc w:val="center"/>
          <w:trHeight w:val="383"/>
        </w:trPr>
        <w:tc>
          <w:tcPr>
            <w:tcW w:w="55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51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7041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  Город Томск.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jc w:val="both"/>
        <w:shd w:val="clear" w:color="auto" w:fill="ffffff" w:themeFill="background1"/>
        <w:tabs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709"/>
        <w:jc w:val="both"/>
        <w:shd w:val="clear" w:color="auto" w:fill="ffffff" w:themeFill="background1"/>
        <w:tabs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486400" cy="3234905"/>
            <wp:effectExtent l="38100" t="0" r="0" b="381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проведенных проверок достоверности и полноты сведений              о доходах в органах государственной власти Томской области меры ответственности за коррупционные правонарушения применены в отношении: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  16 гражданских служащих Томской области, включая руководителей исполнительных органов Томской области: 3 – в виде выговора; 13 – в виде замечания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1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лица, замещающего государственную должность Томской области –                  в виде замечания.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При этом в отношении 1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лица, замещающего государственную должность  Томской области, по состоянию на 31.12.2025 проверка не завершена.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связи с подтвержденными нарушениями, выявленными при анализе справок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о доходах, а также признанием факта совершения коррупционного правонарушения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и дачи согласия на применение взыскания в упрощенном порядке, предусмотренном частью 1 статьи 59.3 Федерального закона от 27 июля 2004 года № 79-ФЗ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«О государственной гражданской службе Российской Федерации»,                                       1  государственный гражданский служащий в Департаменте по молодежной политике Томской области привлечен к юридической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ответственности в виде выговора.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проверок в органах местного самоуправления Томской области меры ответственности за коррупционные правонарушения применены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 отношении 50 муниципальных служащих (41 – замечание, 7 – выговор,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2 – увольнение).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Кроме этого, Департаментом по профилактике коррупционных и иных правонарушений Администрации Томской области в 2025 году проведены                           4 проверки достоверности и полноты сведений о доходах, расходах,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об имуществе и обязательствах имущественного характера в отношении глав сельских поселений. Еще одна проверка по состоянию на 31.12.2025 находилась                 на стадии завершения.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указа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нных проверок представительными органами местного самоуправления муниципальных образований Томской области к лицам, замещающим муниципальные должности, применены меры ответственности:                        1 – в виде предупреждения, 1 – в виде замечания.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отношении 2 лиц заявления о применении мер ответственности                           на 31.12.2025 находились на рассмотрении в представительных органах местного самоуправления муниципальных образований Томской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6257030" cy="2381186"/>
            <wp:effectExtent l="0" t="0" r="0" b="63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проверок соблюдения служащими Томской области,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 также лицами, замещающими государственные должности Томской области                                  и муниципальные должности в Томской области, требований к служебному поведению и (или) требований об урегулировании конфликта интересов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органах государственной власти Томской области проведены 2 проверки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соблюдения гражданскими служащими ограничений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из них: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2 - Департаментом по профилактике коррупционных и иных правонарушений Администрации Томской области (2 - за непринятие мер по предотвращению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урегулированию конфликта интересов).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указанных проверок к 1 государственному гражданскому    служащему Томской области применена мера ответственности за коррупционные правонарушения в виде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предупреждения о неполном должностном соответствии;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 1 государственному гражданскому служащему Томской области мера юридической ответственности не применена, указано на недопустимость нарушения требований антикоррупционного законодательства.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Кроме того, по состоянию на конец отчетного периода (декабрь 2025 года)               в Департаменте по социально-экономическому развитию села Томской области организовано  проведение проверки 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облюдения ограничений и запретов, требований о предотвращении конфликта интересов и неисполнение обязанностей, установленных в целях противодействия коррупции в отношении 1 государственного гражданского служащего.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муниципальном образовании «Город Томск» проведены 23 проверки соблюдения муниципальными служащими установленных ограничений, запретов, требований о предотвращении или урегулировании конфликта интересов.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указанных проверок меры ответственности за коррупционные правонарушения применены: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 3 муниципальным служащим (3 – замечание) (за несоблюдение ограничений и запретов);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 1 муниципальному служащему (1 – увольнение) (за непринятие мер                      по предотвращению и урегулированию конфликта интересов).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567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764695" cy="1852653"/>
            <wp:effectExtent l="4762" t="4762" r="4762" b="4762"/>
            <wp:docPr id="4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567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764695" cy="1804945"/>
            <wp:effectExtent l="0" t="0" r="7620" b="5080"/>
            <wp:docPr id="5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Также в 2025 году от государственных гражданских служащих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          Томской области поступило 18 уведомлений о возможном возникновении                  личной заинтересованности при исполнении должностных обязанностей,                    которая приводит или может привести к конфликту интересов, из них: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 – в Администрацию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 – в </w:t>
      </w:r>
      <w:hyperlink r:id="rId17" w:tooltip="http://depzhkh.tomsk.gov.ru/" w:history="1">
        <w:r>
          <w:rPr>
            <w:rFonts w:ascii="PT Astra Serif" w:hAnsi="PT Astra Serif" w:eastAsia="PT Astra Serif" w:cs="PT Astra Serif"/>
            <w:sz w:val="26"/>
            <w:szCs w:val="26"/>
            <w:highlight w:val="white"/>
          </w:rPr>
          <w:t xml:space="preserve">Департамент ЖКХ и государственного жилищного надзора Томской области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 – в </w:t>
      </w:r>
      <w:hyperlink r:id="rId18" w:tooltip="http://depzdrav.tomsk.gov.ru/" w:history="1">
        <w:r>
          <w:rPr>
            <w:rFonts w:ascii="PT Astra Serif" w:hAnsi="PT Astra Serif" w:eastAsia="PT Astra Serif" w:cs="PT Astra Serif"/>
            <w:sz w:val="26"/>
            <w:szCs w:val="26"/>
            <w:highlight w:val="white"/>
          </w:rPr>
          <w:t xml:space="preserve">Департамент здравоохранения Томской области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 – в Департамент лесного хозяйства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7 – в Департамент образования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10 уведомлений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рассмотрены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представителями нанимателей (работодателями) государственных гражданских служащих, 8 уведомлений рассмотрены на заседаниях комиссий по соблюдению требований к служебному поведению государственных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гражданских служащих и урегулированию конфликта интересов.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итогам рассмотрения уведомлений в 16 случаях приняты меры по урегулированию конфликта интересов или по недопущению его возникновения путем изменения должностного или служебного положения служащего (из них в 6 случ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аях путем отстранения служащих от исполнения должностных (служебных) обязанностей),           в 10 случаях приняты меры в иной форме предотвращения или урегулирования конфликта интересов), в 2 случаях приняты решения, что личная заинтересованность, которая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может привести к конфликту интересов, отсутствует.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От муниципальных служащих Томской области в 2025 году поступило 54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14 случаях приняты меры по урегулированию конфликта интересов или по недопущению его возникновения путем изменения должностного или служебного положения служащего (из них в 1 случае путем отстр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анения служащего                           от исполнения должностных (служебных) обязанностей), в 2 случаях приняты меры            в виде отвода или самоотвода и в 28 случаях приняты меры в иной форме предотвращения или урегулирования конфликта интересов.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Осуществление контроля за соотве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тствием расходов лиц, замещающих государственные должности Томской области, муниципальные должности                           в Томской области, должности государственной гражданской службы                        Томской области, муниципальной службы в Том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ской области, и иных лиц их доходам в соответствии с требованиями Федерального закона от 3 декабря 2012 года                    № 230-ФЗ «О контроле за соответствием расходов лиц, замещающих государственные должности, и иных лиц их доходам» и постановления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            Губернатора Томской области от 08.08.2013 № 88 «О принятии решений                           об осуществлении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контроля за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расходами лиц, замещающих государственные должности Томской области, иных должностных лиц, а также за расходами                    их супруг (супругов) и несовершеннолетних детей» 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</w:t>
      </w:r>
      <w:hyperlink r:id="rId19" w:tooltip="http://dor.tomsk.gov.ru/" w:history="1">
        <w:r>
          <w:rPr>
            <w:rFonts w:ascii="PT Astra Serif" w:hAnsi="PT Astra Serif" w:eastAsia="PT Astra Serif" w:cs="PT Astra Serif"/>
            <w:sz w:val="26"/>
            <w:szCs w:val="26"/>
            <w:highlight w:val="white"/>
          </w:rPr>
          <w:t xml:space="preserve">Департаментом охотничьего и рыбного хозяйства Томской области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осущес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твлен контроль за расходами 1 служащего, по результатам которого установлено, что представленные в соответствии с требованиями части 1 статьи                 3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Федерального закона от 3 декабря 2012 года № 230-ФЗ «О контроле       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 соответствием расходов лиц, замещающих государственные должности, и иных лиц их доходам» сведения являются достоверными и полными, обстоятельства, свидетельствующие 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несоответствии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расходов служащего его доходам и доходам супруги, не установлены.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Анализ сведений, содержащихся в анкетах лиц, представляемых                     при назначении на государственные должности Томской области, должности государственной гражданской службы Томской области, муниципальн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ые должности в Томской области, должности муниципальной службы                                      в Томской области, об их родственниках и свойственниках в целях выявления возможного конфликта интересов, в том числе с учетом внесенных в анкеты изменений.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Рассмотрение доклада о результатах исполнения настоящего пункта                       на заседаниях комиссий по соблюдению требований к служебному поведению                       и урегулированию конфликта интересов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выявления возможного конфликта интересов Департаментом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по профи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лактике коррупционных и иных правонарушений Администрации       Томской области (далее – Департамент), кадровыми службами органов государственной власти Томской области, органов местного самоуправления муниципальных образований Томской области не реже одно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го раза в полугодие проводится анализ сведений, содержащихся в анкетах лиц, представляемых                    при назначении на государственные должности, должности государственной гражданской службы, муниципальные должности, должности муниципальной службы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области, об их родственниках и свойственниках (далее – сведения, анкеты).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первой половине 2025 года Департаментом изучены сведения                                  о родственниках и свойственниках: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 62 государственных гражданских служащих Администрации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Томской области, из них: 15 - государственных гражданских служащих, замещающих должности руководителей структурных подразделений Администрации                   Томской области, 47 - государственных гражданских служащих Администрации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анализа сведений случаев, указывающих на возможность возникновения ситуаций конфликтов интересов, среди указанных государственных гражданских служащих, не выявлено. Вместе с тем, 1 гос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ударственным гражданским служащим Администрации Томской области, в связи с установлением в ходе анализа факта непредставления актуальной информации о месте работы отца, представлено сообщение об изменении сведений, содержащихся в анкете, в названной части;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 29 лиц, замещающих должности руководителей исполнительных органов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анализа сведений выявлена ситуация возможности возникновения конфликта интересов в отношении 1 государственного </w:t>
      </w:r>
      <w:r>
        <w:rPr>
          <w:rFonts w:ascii="PT Astra Serif" w:hAnsi="PT Astra Serif" w:eastAsia="PT Astra Serif" w:cs="PT Astra Serif"/>
          <w:strike w:val="0"/>
          <w:color w:val="auto"/>
          <w:sz w:val="26"/>
          <w:szCs w:val="26"/>
          <w:highlight w:val="white"/>
        </w:rPr>
        <w:t xml:space="preserve">служащего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По данному факту проведена проверка соблюдения гражданским служащим ограничений и запретов, требований о предотвращении или урегулировании конфликта интересов, 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сполнения им обязанностей, установленных Федеральным законом от 25.12.2008 № 273-ФЗ «О противодействии коррупции» и другими федеральными законами, по итогам которой к должностному лицу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применено взыскание в виде неполного должностного соответствия.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Во второй половине 2025 года Департаментом изучены сведения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родственниках и свойственниках  назначенных в период с 01.01.2025 по 08.12.2025: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 9  государственных гражданских служащих Администрации Томской области категории «руководители», «помощники» (советники)»;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 4  руководителей исполнительных органов Томской области.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анализа сведений выявлена ситуац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ия возможности возникновения конфликта интересов в отношении 1 государственного гражданского служащего Администрации Томской области, в связи с чем Департаментом  запрошены дополнительные документы в целях объективной и всесторонней оценки данного факта.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Доклады о результата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х анализа сведений, содержащихся в анкетах лиц, представляемых при назначении на государственные должности, должности государственной гражданской службы, муниципальные должности, должности муниципальной службы Томской области, об их родственниках и свойств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енниках рассматриваются на заседаниях комиссий по соблюдению требований к служебному поведению и урегулированию конфликта интересов органов государственной власти Томской области и органов местного самоуправления  муниципальных образований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851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анализа эффективности деятельности комиссий по соблюдению требований к служебному поведению служащих Томской области и урегулированию конфликт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 интересов, а также работы подразделений кадровых сл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ужб                       (лиц, ответственных за профилактику коррупционных и иных правонарушений)                  в государственных органах Томской области и органах власти Томской области               по профилактике коррупционных и иных правонарушений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органах государственной власти Томской области в 2025 году проведено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114 заседаний комиссий по соблюдению требований к служебному поведению государственных гражданских служащих и урегулированию конфликта интересов (далее – Комиссия), 10 - в Администрации Томской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Всего комиссиями рассмотрено 22 материала в отношении государственных гражданских служащих Томской области, а также граждан, ранее замещавших должности государственной гражданской службы Томской области, из которых: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9072" w:type="dxa"/>
        <w:tblInd w:w="8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по фактам представления государственными гражданскими служащими недостоверных или неполных сведений о доходах, об имуществе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и обязательствах имущественного характера;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заявления государственных гражданских служащих о невозможности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br/>
              <w:t xml:space="preserve">по объективным причинам представить сведения о доходах на супруга (супругу);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29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1 -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заявление о невозможности выполнить требования о запрете отдельным категориям лиц открывать и иметь счета (вкла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                             в соответствующих случаях;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касающиеся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 несоблюдения государственными гражданскими служащими ограничений и запретов, требований к служебному поведению и (или) требований об урегулировании конфликта интересов;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8 -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уведомлений государственных гражданских служащих о возникновении (возможном возникновении) у них конфликта интересов;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6 -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3" w:type="dxa"/>
            <w:textDirection w:val="lrTb"/>
            <w:noWrap w:val="false"/>
          </w:tcPr>
          <w:p>
            <w:pPr>
              <w:jc w:val="both"/>
              <w:shd w:val="clear" w:color="auto" w:fill="ffffff" w:themeFill="background1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заявлений государственных гражданских служащих или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left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693434" cy="5538159"/>
            <wp:effectExtent l="0" t="0" r="2540" b="571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заседаний указанных Комиссий меры ответственности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за коррупционные правонарушения применены к 1 государственному гражданскому служащему Томской области - за несоблюдение требований к урегулированию конфликта интересов.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органах местного самоуправления Томской области в 2025 году проведено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481 заседание комиссии по соблюдению требований к служебному поведению муниципальных служащих и урегулированию конфликта интересов.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Всего комиссиями рассмотрено 167 материалов в отношении муниципальных служащих,  из которых: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9056" w:type="dxa"/>
        <w:tblInd w:w="81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val="04A0" w:firstRow="1" w:lastRow="0" w:firstColumn="1" w:lastColumn="0" w:noHBand="0" w:noVBand="1"/>
      </w:tblPr>
      <w:tblGrid>
        <w:gridCol w:w="743"/>
        <w:gridCol w:w="8313"/>
      </w:tblGrid>
      <w:tr>
        <w:tblPrEx/>
        <w:trPr>
          <w:trHeight w:val="923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75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 по фактам представления служащими недостоверных или неполных сведений о доходах, об имуществе и обязательствах имущественного характера;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923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2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заявления служащих о невозможности по объективным причинам представить сведения о доходах в отношении супруги (супруга)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br/>
              <w:t xml:space="preserve">и несовершеннолетних детей;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615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57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касающихся несоблюдения требований к служебному поведению             и (или) требований об урегулировании конфликта интересов;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>
          <w:trHeight w:val="862"/>
        </w:trPr>
        <w:tc>
          <w:tcPr>
            <w:tcW w:w="743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33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заявления бывших служащих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ind w:firstLine="708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на заседаниях комиссий рассмотрено 314 вопросов профилактики коррупционных правонарушений.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6159260" cy="3485071"/>
            <wp:effectExtent l="38100" t="0" r="0" b="1270"/>
            <wp:docPr id="7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заседаний указанных комиссий меры ответственности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за коррупционные правонарушения применены к 53 муниципальным служащим: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tbl>
      <w:tblPr>
        <w:tblStyle w:val="805"/>
        <w:tblW w:w="8928" w:type="dxa"/>
        <w:tblInd w:w="817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361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к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50 за представление недостоверных или неполных сведений о доходах, об имуществе и обязательствах имущественного характера;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- к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  <w:tc>
          <w:tcPr>
            <w:tcW w:w="836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  <w:highlight w:val="white"/>
              </w:rPr>
              <w:t xml:space="preserve">3   за несоблюдение требований к служебному поведению.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</w:p>
        </w:tc>
      </w:tr>
    </w:tbl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заседаний Комиссии по координации работы                                         по противодействию коррупции в Томской области, подготовка материалов                      к заседаниям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отчетном пе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риоде проведено 4 заседания Комиссии по координации работы по противодействию коррупции в Томской области под председательством Губернатора Томской области, на которых рассмотрены вопросы согласно утвержденным планам на первое и второе полугодие 2025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первом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 об организации работы по противодействию коррупции в дорожной деятельности;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 о мерах по предупреждению коррупции, принимаемых в Департаменте строительства Томской области, в том числе при реализации национальных проектов;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3) о рассмотрении заявления лица, замещающего государственную должность Томской области о невозможности выполнить требования Федерального закона                   от 7 мая 2013 года № 79-ФЗ «О запрете отдельным кате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              и (или) пользоваться иностранными финансовыми инструментами».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втором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 о мерах по предупреждению коррупции, принимаемых в Департаменте здравоохранения Томской области, в том числе при реализации национальных проектов;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о мерах по предупреждению коррупции, принимаемых в Департаменте спорта Томской области, в том числе при реализации национальных проектов.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третьем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 о мерах, направленных на предупреждение, выявление и пресечение преступлений коррупционной направленности по фактам хищения бюджетных денежных средств;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о мерах по предупреждению коррупции, принимаемых в Главной инспекции государственного строительного надзора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На четвертом заседании рассмотрены вопросы: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1) о мерах по предупреждению коррупции, принимаемых в Департаменте                  по культуре Томской области и подведомственных ему учреждениях;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2) о мерах по предупреждению коррупции, принимаемых в Департаменте                    по вопросам семьи и детей Томской области и подведомственных ему учреждениях.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результатам заседаний Губернатором Томской области ответственным лицам даны соответствующие поручения для исполнения.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 учетом мнения членов Комиссии, исполнительных органов Томской области, органов местного самоуправления муниципальных образований Томской области утвержден План работы Комиссии на 1 полугодие 2026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пров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ерок по воп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росам исполнения законодательства                               о противодействии коррупции в Томской области в исполнительных органах  Томской области, в организациях, подведомственных исполнительным органам Томской области и Администрации Томской области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области проведены проверочные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мероприятия в отношении 11 организаций (учреждений), подведомственных исполнительным органам Томской области.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указанных организациях выявлен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значительное количество нарушений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 при ведении финансово-хозяйственной деятельности, кадровой работы,                          при осуществлении закупок, при реализации национальных проектов и региональных программ, а также нарушения в части выстраивания антикоррупционной работы.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white"/>
          <w14:ligatures w14:val="none"/>
        </w:rPr>
      </w:r>
    </w:p>
    <w:p>
      <w:pPr>
        <w:pStyle w:val="790"/>
        <w:ind w:firstLine="709"/>
        <w:jc w:val="both"/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основании выявленных Департаментом по профилактике коррупционных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иных правонарушений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Администрации Томской области нарушений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действующего законодательства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 дисциплинарной ответственности привлечено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40 работников, расторгнуты трудовые отношения с 15 работниками.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  <w14:ligatures w14:val="none"/>
        </w:rPr>
      </w:r>
    </w:p>
    <w:p>
      <w:pPr>
        <w:pStyle w:val="790"/>
        <w:ind w:firstLine="709"/>
        <w:jc w:val="both"/>
        <w:rPr>
          <w:rFonts w:ascii="PT Astra Serif" w:hAnsi="PT Astra Serif" w:eastAsia="PT Astra Serif" w:cs="PT Astra Serif"/>
          <w:color w:val="000000" w:themeColor="text1"/>
          <w:szCs w:val="26"/>
          <w:highlight w:val="white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постоянной основе организовано и осуществляется рабочее взаимодействие по вопросам профилактики коррупционных и иных правонарушений с УМВД России по Томской области, УФСБ России по Томской области и другими правоохранительными органами Томской области. </w:t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  <w14:ligatures w14:val="none"/>
        </w:rPr>
      </w:r>
      <w:r>
        <w:rPr>
          <w:rFonts w:ascii="PT Astra Serif" w:hAnsi="PT Astra Serif" w:eastAsia="PT Astra Serif" w:cs="PT Astra Serif"/>
          <w:color w:val="000000" w:themeColor="text1"/>
          <w:szCs w:val="26"/>
          <w:highlight w:val="white"/>
          <w14:ligatures w14:val="none"/>
        </w:rPr>
      </w:r>
    </w:p>
    <w:p>
      <w:pPr>
        <w:pStyle w:val="790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УМВД России по Томской области, Государственную инспекцию труда в Томской области, прокуратуру Томской области, следственное управление Следственного комитета России по Томской области, Управление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Роскомнадзора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 Томской области, Управление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Росгвардии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 Томской области,             Комитет государственного финансового контроля Томской области, УФСБ России            по Томской области, Сибирское межрегиональное управление Федеральной службы по надзору в сфере природопользования г. Томска направлялись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материалы                       для принятия мер реагирования.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ходе работы Департамента непосредственно в государственный бюджет Российской Федерации возвращено 74 378,12 рублей налоговых задолженностей физических лиц.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284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426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745193" cy="2355012"/>
            <wp:effectExtent l="0" t="0" r="8255" b="762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лицами, ответственными за работу по профилактике коррупции              и иных правонарушений в исполни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тельных органах Томской области, с сотрудниками подведомственных организаций на постоянной основе проводятся разъяснительные беседы, семинары-совещания, направляются памятки, разработанные Администрацией Томской области, по вопросам профилактики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антикоррупционной экспертизы нормативных правовых актов Томской области и их проектов с учетом мониторинга соответствующей правоприменительной практики в целях выявления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коррупциогенных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факторов                      и последующего устранения таких факторов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 2025 год отделом экспертизы правовых актов 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коррупциогенность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Комитета по государственно-правовым вопросам Департамента по государственно-правовым вопросам и законопроектной деятельности Администрации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проведены плановая антикоррупционная и правовая экспертизы 60 нормативных правовых актов Администрации и Губернатора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             (далее – нормативные правовые акты).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данных экспертиз в 58 нормативных правовых актах выявлены нормы, содержащие 154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фактора, из них: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широта дискреционных полномочий (подп. а) пункта 3 Методики) – 20  случаев;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определение компетенции по формуле «вправе» (подп. б) пункта 3 Методики) – 4 случая;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выборочное изменение объема прав - возможность необоснованног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установления исключений из общего порядка для граждан и организаций                       по усмотрению государственных органов, органов местного самоуправления                 или организаций (их должностных лиц) (подп. в) пункта 3 Методики) – 2 случая;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прин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ятие нормативного правового акта за пределами компетенции - нарушение компетенции государственных органов, органов местного самоуправления или организаций (их должностных лиц) при принятии нормативных правовых актов (подп. д) пункта 3 Методики) – 1 случай;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 отсутствие или неполнота административных процедур (подп. ж) пункта 3 Методики) – 31 случай;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6) нормативные коллизии (подп. и) пункта 3 Методики) – 30 случаев;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7) наличие завышенных требований к лицу, предъявляемых для реализации принадлежащего ему права, - установление неопределенных, трудновыполнимых            и обременительных требований к гражданам и организациям (подп. а) пункта 4 Методики) – 14 случаев;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8) злоупотребление правом заявителя государственными органами, органами местного самоуправления или организациями (их должностными лицами) - отсутствие четкой регламентации прав граждан и организаций (подп. б пункта 4 Методики) – 3 случая;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9) юридико-лингвистическая неопределенность (подп. в) пункта 4 Методики) – 49 случаев.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по результатам экспертизы в 60 актах, подлежащих антикоррупционной экспертизе (в том числе в актах, в которых выявлены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факторы), установлено наличие противоречий действующему законодательству и нарушений правил юридической техники.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Как результат,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ходе плановой антикоррупционной и правовой экспертизы, проведенной за 2025 год, выявлено 60 нормативных правовых актов с различными правовыми дефектами, что составляет 100 % от общего числа нормативных правовых актов, включенных в план в отчётном периоде.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отрицательные заключения направлены разработчикам правовых актов   для внесения необходимых изменений в целях исключения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факторов, устранения выявленных противоречий и иных недостатков.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результатам рассмотрения указанных заключений исполнительные органы Томской области и структурные подразделения Администрации Томской области предоставили информацию о подготовке соответствующих проектов нормативных правовых актов о внесении изменений.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Департаментом по государственно-правовым вопросам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законопроектной деятельности Администрации Томской области за отчетный период в текущем порядке была проведена правовая и антикоррупционная экспертиза 550 проектов правовых актов Администрации Томской области, Губернатора Томской области.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в исполнительных органах Томской области, государственных органах Томской области проведена антикоррупционная экспертиза в отношении 2649 проектов нормативных правовых актов.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4213611" cy="1901725"/>
            <wp:effectExtent l="4762" t="4762" r="4762" b="4762"/>
            <wp:docPr id="9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Антикоррупционная экспертиза муници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пальных нормативных правовых актов осуществляется органами местного самоуправления муниципальных образований Томской области в соответствии с Планами проведения антикоррупционной экспертизы муниципальных нормативных правовых актов, утверждаемыми ежегодно.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антикоррупционная экспертиза была проведена в отношении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1285 муниципальных нормативных правовых актов и 7389 проектов нормативных правовых актов.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факторы выявлены в 777 проектах нормативных правовых актов и в 94 действующих нормативных правовых актах.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выявленные в ходе антикоррупционной экспертизы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коррупциогенные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факторы своевременно устранены.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Обеспечение возможности проведения независимой антикоррупционной экспертизы нормативных правовых актов и их проектов в установленном порядке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Постановлением Админи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страции Томской области от 12.10.2010 № 198а                «О создании условий для проведения независимой антикоррупционной экспертизы проектов нормативных правовых актов» регламентирован порядок работы в области независимой антикоррупционной экспертизы.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Указанное постановление размещено на официальном интернет-портале Администрации Томской области (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www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tomsk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gov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ru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) в подразделе «Антикоррупционная экспертиза» раздела «Противодействие коррупции».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реализации вышеуказанного постановления на официальных сайтах исполнительных органов Томской области, государственных органов Томской области в подразделе «Антикоррупционная экспертиза» раздела «Противодействие коррупции» созданы усл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овия для проведения независимой антикоррупционной экспертизы проектов нормативных правовых актов, затрагивающих права, свободы           и обязанности человека и гражданина, устанавливающих правовой статус организаций или имеющие межведомственный характер.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отношении 384 проектов нормативных правовых актов и 59 нормативных  правовых актов проведена независимая антикоррупционная экспертиза.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обеспечения возм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ожности проведения независимой антикоррупционной экспертизы в 2025 году на официальных сайтах органов местного самоуправления Томской области в информационно-телекоммуникационной сети «Интернет» размещены нормативные правовые акты             и их проекты.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отношении 57 проектов нормативных правовых актов и 21 нормативного правового акта проведена независимая антикоррупц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ионная экспертиза, получено 5 заключений на проекты актов и 15 заключений на действующие акты. Все 15 заключений независимых экспертов, приняты во внимание в рамках проведения экспертизы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отношении действующих нормативных правовых актов и их актуализации.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Оценка состояния коррупции посредством проведения мониторинговых исследований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оценки эффективности деятельности по реализации антикоррупционных мер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оценки эффективности деятельности исполнительных органов Томской области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по реализации антикоррупционных мер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1"/>
          <w:bottom w:val="none" w:color="000000" w:sz="4" w:space="0"/>
          <w:right w:val="none" w:color="000000" w:sz="4" w:space="3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области, во исполнение распоряжения Губернатора  Томской области от 28.06.2019 № 143-р «О повышении эффективности деятельности исполнительных органов Томской области по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профилактике коррупционных правонарушений», в отчетном периоде проведена оценка эффективности деятельности исполнительных органов Томской области по профилактике коррупционных правонарушений в 2024 году, по итогам которой сформированы рейтинговые таблицы.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Указанные таблицы размещены на официальном интернет-портале Администрации Томской области в разделе «Противодействие коррупции».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right="-2"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Оценка проведена в отношении 32 исполнительных органов Томской области, 11 из которых не имеют подведомственные учреждения, 21 имеет подведомственные учреждения.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right="-2"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Наибольшее количес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тво баллов среди органов, не имеющих подведомственные учреждения, набрал Департамент лицензирования и регионального государственного контроля Томской области (54), наименьшее – Представительство Томской области при Правительстве Российской Федерации (42).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right="-2" w:firstLine="709"/>
        <w:jc w:val="both"/>
        <w:tabs>
          <w:tab w:val="left" w:pos="709" w:leader="none"/>
        </w:tabs>
        <w:rPr>
          <w:rFonts w:ascii="PT Astra Serif" w:hAnsi="PT Astra Serif" w:cs="PT Astra Serif"/>
          <w:sz w:val="26"/>
          <w:szCs w:val="26"/>
          <w:highlight w:val="white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Наибольшее количество баллов среди органов, имеющих подведомственные учреждения, набрал Департамент образования Томской области (60), наименьшее - Департамент градостроительного развития Томской области (37).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center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3"/>
          <w:between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692775" cy="1789043"/>
            <wp:effectExtent l="0" t="0" r="3175" b="1905"/>
            <wp:docPr id="10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left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5690869" cy="2242268"/>
            <wp:effectExtent l="0" t="0" r="5715" b="5715"/>
            <wp:docPr id="1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Департамент по профилактике коррупционных и иных правонарушений Администрации Томской области ежеквартально осуществляет мониторинг хода реализации мероприятий по противодействию коррупции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органах государственной власти Томской области и органах местного самоуправления муниципальных образований Томской области, основной задачей которого является сбор и обработка статистических данных.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анкетирования участников образовательных отношений (обучающихся, родителей, законных представителей несовершеннолетних обу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чающихся) в областных государственных образовательных организациях  Томской области по оценке качества деятельности данных организаций                             с включением вопросов о коррупционных правонарушениях в деятельности обозначенных организаций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областных государственных образовательных организациях (учреждениях),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отношении которых функции и полномочия учредителя осуществляет Департамент образования Томской области, проведено анкетирование по оценке качества деятельности данных организаций с включением вопросов, касающихся проявления «бытовой»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проведено анкетирование по вопросам, касающимся проявления «бытовой» коррупции. Участие в опросе приняли 10062 обучающихся и 2536 родителей (законных представителей).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Фактов проявления коррупции не выявлено.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Обобщение практики рассмотрения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обращений граждан и юридических лиц по вопросам противодействия коррупции, в том числе обращений, поступивших по телефону доверия, на горячую линию или с использованием интерактивных сервисов на официальном интернет-портале Администрации Томской области (</w:t>
      </w:r>
      <w:hyperlink r:id="rId26" w:tooltip="www.tomsk.gov.ru" w:history="1">
        <w:r>
          <w:rPr>
            <w:rFonts w:ascii="PT Astra Serif" w:hAnsi="PT Astra Serif" w:eastAsia="PT Astra Serif" w:cs="PT Astra Serif"/>
            <w:i/>
            <w:sz w:val="26"/>
            <w:szCs w:val="26"/>
            <w:highlight w:val="white"/>
          </w:rPr>
          <w:t xml:space="preserve">www.tomsk.gov.ru</w:t>
        </w:r>
      </w:hyperlink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), официальных сайтах государственных органов Томской области и органов власти Томской области, позволяющих пользователям сообщать о фактах коррупции.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Проведение анализа организации и эффективности работы                                с обращениями, соблюдение сроков и результатов рассмотрения обращений                       о фактах проявления коррупции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в Администрацию Томской области поступило (посредством                АО «Почта России», электронной почты,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VipNet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(канал связи с Управлением Президента Российской Федерации),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(Платфор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ма обратной связи), Портал Администрации Томской области), МЭДО (межведомственный электронный документооборот при личном обращении в Администрацию Томской области)                55 обращений граждан и юридических лиц по вопросам противодействия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Обращения по вопросам противодействия коррупции на телефон доверия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Антикоррупция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 не поступали.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прокуратуру Томской области было п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еренаправлено 13 обращений, содержащих доводы о коррупции, в следственное управление Следственного комитета Российской Федерации по Томской области – 3, в УФСБ России                        по Томской области – 2, в УМВД России по Томской области – 9.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                     По 16 обращениям, по результатам анализа, оснований для проведения проверок                    в рамках полномочий Департамента по профилактике коррупционных и иных правонарушений Администрации Томской области не установлено.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обращения рассмотрены в установленном порядке. Сроки рассмотрения обращений не нарушались.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в Контрольно-счетную палату Томской области поступило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 обращение по вопросам противодействия коррупции, которое в рамках имеющихся полномочий, в соответствии с ч. 3 ст. 8 Федерального закона от 2 мая 2006 года                        № 59-ФЗ «О порядке рас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смотрения обращений граждан РФ», было перенаправлено                      для рассмотрения в контрольно-счетный орган муниципального образования городского округа Стрежевой–Муниципальное казенное учреждение «Ревизионная комиссия городского округа Стрежевой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», о чем гражданин, направивший данное обращение, был уведомлен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установленные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законом срок.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Департамент труда и занятости населения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 поступило 1 обращение гражданина с указанием на наличие коррупционных рисков и признаков личной заинтересованности государственного гражданского служащего. Указанное обращение рассмотрено в срок, заявителю даны соответствующие разъяснения.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Департамент здравоохранения Томской области также поступило письменное обращение, содержащее указание на наличие конфликта интересов                   в связи  с осу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ществлением руководителем областного государственного учреждения здравоохранения, подведомственного Департаменту, иной оплачиваемой работы                 (по совместительству). При рассмотрении данного обращения нарушений законодательства не установлено.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иные исполнительные органы Томской области и государственные органы Томской области обращения граждан о фактах проявления коррупции не поступали.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в органы местного самоуправления Томской обла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сти поступило 12 обращений от граждан и организаций о коррупционных правонарушениях служащих (из них 10 обращений – в письменной форме, 1 – по горячей линии (телефону доверия), 1 – с использованием интерактивных сервисов на официальном интернет – портале).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Сроки рассмотрения вышеназванных обращений соблюдены.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всем поступающим обращениям проводится анализ на наличие фактов проявления коррупции.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center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drawing>
          <wp:inline distT="0" distB="0" distL="0" distR="0">
            <wp:extent cx="3927944" cy="1820848"/>
            <wp:effectExtent l="0" t="0" r="0" b="825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и проведение мероприятий по пр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офессиональном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у развитию                в области противодействия коррупции, в том числе обучения по дополнительным профессиональным программам в области противодействия коррупции:              служащих Томской области, в должностные обязанности которых входит участие 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                    в противодействии коррупции; лиц, впервые поступивших на государственную (муниципальную) службу и замещающих должности, связанные с соблюдением требований к служебному поведению и (или) требований об урегулировании конфликта интересов;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служащих Томской области, в должностные обязанности которых входит участие в проведении закупок товаров, работ, услуг                              для обеспечения государственных (муниципальных) нужд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В 2025 году 160 государственных гражданских служащих Томской области                  и 137 муниципальных служащих в Томской области, в должностные обязанности которых входит участие в противодействии коррупции и проведение закупок товаров,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работ, услуг для обеспечения государственных и муниципальных нужд, прошли повышение квалификации по следующим темам: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«Формирование антикоррупционной компетентности государственного гражданского служащего»;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«Контрактная система в сфере закупок товаров, работ и услуг для обеспечения государственных и муниципальных нужд»;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«Профилактика коррупционных и иных правонарушений на государственной гражданской службе»;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«Управление в сфере закупок товаров, работ, услуг для обеспечения государственных и муниципальных нужд»;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«Профилактика коррупции в государственном органе»;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Cs/>
          <w:sz w:val="26"/>
          <w:szCs w:val="26"/>
          <w:highlight w:val="white"/>
        </w:rPr>
        <w:t xml:space="preserve">«Правовые основы противодействия коррупции».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Лица, впервые поступившие на государственную гражданскую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муниципальную службу Томской области, приняли участие в мероприятиях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по профессиональному развитию в Томской области по вопросам противодействия коррупции в 2025 году: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- 52 государственных гражданских служащих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- 33 муниципальных служащих Томской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в отчетном периоде 24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государственных гражданских служащих Томской области и 36 муниципальных служащих в Томской области приняли участие в мероприятиях по профессиональному развитию в области противодействия коррупции по теме: «Противодействие коррупции в Российской Федерации».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Обучение проводилось на базе ОГБУ «Томский региональный ресурсный центр» (Корпоративный университет управления Администрации Томской области), АНО ДПО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Дистантия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 в рамках государственного задания, а также на базе                АНО ДПО «Первый федеральный университет антикоррупционного просвещения»            и ЧУДПО «Институт повышения квалификации «Эксперт».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мероприятий (семинаров-совещаний, круглых столов, совещаний, лекций и т.п.) по вопросам применения законодательства о противодействии коррупции с сотрудниками органов власти Томской области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рамках проведения профилактических мероприятий Департаментом                   по профилактике коррупционных и иных правонарушений Администрации            Томской области (далее - Департамент) ежегодно,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периодически проводятся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совещания (семинары), круглые столы,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том числе при участии сотрудников прокуратуры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по вопросам применения законодательства Российской Федерации о противодействии коррупции.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для сотрудников органов власти Томской области Департаментом проведено 17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white"/>
          <w:lang w:eastAsia="en-US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совещаний, в том числе посредством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видеоконференц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-связи,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из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которых: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10 совещаний</w:t>
      </w:r>
      <w:r>
        <w:rPr>
          <w:rFonts w:ascii="PT Astra Serif" w:hAnsi="PT Astra Serif" w:eastAsia="PT Astra Serif" w:cs="PT Astra Serif"/>
          <w:i/>
          <w:iCs/>
          <w:sz w:val="26"/>
          <w:szCs w:val="26"/>
          <w:highlight w:val="white"/>
          <w:lang w:eastAsia="en-US"/>
        </w:rPr>
        <w:t xml:space="preserve"> -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для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лиц, ответственных за противодействие коррупции                     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органах местного самоуправления, муниципальных служащих и сотрудников муниципальных образований, лиц, замещающих муниципальные должности,                 глав сельских и городских поселений. Всего в семинарах-совещаниях приняли участие порядка 350 человек;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 совещания - для лиц, ответственных за противодействие коррупции в органах государственной власти Томской области. Всего в совещаниях приняли участие порядка 100 человек;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 совещание - для государственных служащих, замещающих должности                   в Администрации Томской области,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котором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приняли участие 47 человек;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 совещание - для государственных служащих исполнительных органов Томской области, 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котором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приняли 24 участника;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 семинара - для лиц, впервые принятых на государственную гражданскую службу. Всего приняли участие 50 человек.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указанных мероприятиях освещались вопросы заполнения сведений                    о доходах за отчетный 2024 год, профилактики коррупционных правонарушений                 в соответствующих орга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нах и организациях, предотвращения, выявления                           и урегулирования конфликта интересов, организации антикоррупционной работы              в органах государственной власти, а также основные нарушения в сфере противодействия коррупции.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79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Данные мероприятия носят исключительно практический характер (приводятся примеры из практической деятельности Департамента, освещаются вопросы ответственности, а также разъясняется конкретный правовой механизм по недопущению нарушений).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Подготовка, направление в органы власти Томской области методических, информационных и справочных материалов по вопросам противодействия коррупции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ти (далее – Департамент),                           в целях совершенствования деятельности по противодействию коррупции,                      для государственных гражданских служащих Томской области и муниципальных служащих в Томской области подготовлены: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презентация по порядку заполнения справок о доходах, расходах,                        об имуществе и обязательствах имущественного характера государственными гражданскими служащими Томской области за 2024 год;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памятка для государст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венных гражданских служащих Томской области, замещающих должности в Администрации Томской области, и руководителей исполнительных органов Томской области по вопросам применения антикоррупционного законодательства (совместно с прокуратурой Томской области).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связи с принятием распоряжения Администрации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от 10.02.2025 № 90-ра «Об утверждении региональной программы противодействия коррупции в Томской области на 2025 – 2028 годы» обновлены следующие методические материалы: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памятка по организации работы комиссии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и урегулированию конфликта интересов;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памятка для лиц, ответственных за работу по профилактике коррупционных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иных правонарушений в исполнительных органах Томской области (совместно с прокуратурой Томской области);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3) памятка для глав муниципальных образований Томской области по вопросу организации антикоррупционной работы;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4) рекомендации по вопросам организации антикоррупционной работы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муниципальных образованиях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5) памятка «Обязанности, ограничения и запреты, связанные с гражданской службой».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также актуализированы следующие методические материалы: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 методические рекомендации по обеспечению исполнения лицами, замещающими муниципальные должности, главами местных администраций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 контракту обязанности представления сведений о доходах, расходах,                            об имуществе и обязательствах имущественного характера;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 рекомендации по вопросам организации антикоррупционной работы                       в муниципальных образованиях Томской области;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3) материалы электронного курса по программе повышения квалификации «Теория и практика государственной гражданской службы» для обучения лиц, впервые принятых на государственную гражданскую службу.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Кроме этого обновлены кейсы по вопросам соблюдения антикоррупционного законодательства, необходимые для прохождения аттестации государственных гражданских служащих.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Данные методические материалы направлены в органы государственной власти Томской области и органы местного самоуправления муниципальных образований Томской области для использования в работе.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pacing w:line="288" w:lineRule="atLeast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Департаментом, в целях оказания консультативной и 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етодической помощи               в 2025 году, в структурные подразделения Администрации Томской области,             органы государственной власти Томской области и муниципальные образования Томской области направлялись различные информационные материалы.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pacing w:line="288" w:lineRule="atLeast"/>
        <w:rPr>
          <w:rFonts w:ascii="PT Astra Serif" w:hAnsi="PT Astra Serif" w:cs="PT Astra Serif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рамках подготовки к Ме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ждународному дню борьбы с коррупцией Департаментом разработаны эскизы баннеров на антикоррупционную тематику, которые также направлены в органы государственной власти Томской области            и муниципальные образования Томской области для размещения их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официальных  интернет-порталах.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по заявке Департамента создан социальный видеоролик               «Россия без коррупции!». Данный видеоролик 09.12.2025 размещен на сайте Администрации Томской области, официальных сайтах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пабликах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более 1000 организаций Томской области.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году, в целях оперативного взаимодействия лиц, ответственных                   за работу по профилактике коррупционных и иных правонарушений в органах публичной власти Томской области, Департаментом создана коммуникативная площадка в мессенджере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/>
        </w:rPr>
        <w:t xml:space="preserve">MAX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Антикоррупция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–70». С использованием данного информационного сервиса дополнительно осуществляется направление актуальной  информации по вопросам противодействия коррупции.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обучения по программам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повышения квалификации служащих Томской области с включением в образовательные программы дисциплин                       по антикоррупционной тематике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52 государственных гражданских служащих Томской области              и 33 муниципальных служащих в Томской области прошли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обучение по программам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повышения квалификации, в которые включены дисциплины по антикоррупционной тематике. В данные программы повышения квалификации включены следующие темы: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практические вопросы профилактики коррупционных правонарушений;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понятие коррупции, коррупционного поведения;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предоставление сведений о доходах и сайтах;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ответственность за коррупционные правонарушения;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профилактика коррупционных правонарушений на государственной гражданской и муниципальной службе;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конфликт интересов на государственной гражданской и муниципальной службе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содержания, в том числе издание и размещение социальной рекламной продукции антикоррупционной направленности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по профилактике коррупционных и иных правонарушений Администрации Томской области подгото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влена презентация                  по порядку заполнения справок о доходах, расходах, об имуществе и обязательствах имущественного характера государственными гражданскими служащими               Томской области за 2024 год; совместно с прокуратурой Томской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области разработана памятка для государственных гражданских служащих Томской области, замещающих должности в Администрации Томской области, и руководителей исполнительных органов Томской области по вопросам применения антикоррупционного законодательства;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связи с принятием распоряжения Администрации Томской обл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асти от 10.02.2025 № 90-ра «Об утверждении региональной программы противодействия коррупции в Томской области                  на 2025–2028 годы» обновлены 11 методических материалов (памятки, рекомендации по вопросам организации антикоррупционной работы,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кейсы по вопросам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соблюдения антикоррупционного законодательства, материалы электронного курса  др.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), которые размещены на официальном интернет-портале Администрации  Томской области и направлены для профилактической работы в органы государственной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власти Томской области и органы местного самоуправления муниципальных образований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Разработка социальной рекламы антикоррупционной направленности (тематические видеоролик, баннеры)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организована Департаментом информационной политики Администрации Томской области совместно                               с Департаментом по профилактике коррупционных и иных правонарушений Администрации Томской области в рамках Международного д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ня борьбы                             с коррупцией. Данная реклама размещена на официальных сайтах органов государственной власти Томской области, органов местного самоуправления муниципальных образований Томской области и подведомственных им учреждениях.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этого социальные баннеры на антикоррупционную тематику размещались 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билбордах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расположенных на центральных улицах города Томска,             в социальных сетях и на сайте Администрации Томской области,  антикоррупционный ролик транслировался в социальных сетях Администрации Томской области, официальных сайтах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пабликах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более 1000 организаций              Томской области.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информационном стенде Админист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рации Томской области размещен выпуск № 90 Томской областной газеты «Красное знамя» за 09.12.2025, где вышло интервью с прокурором Томской области С.С. Ломакиным по теме «Неотвратимость наказания для всех коррупционеров, независимо от статуса и положения».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административных зданиях органов государственной власти                      Томской области, органов местного самоуправления муниципальных образований Томской области размещается и поддерживается в актуальном состоянии информация антикоррупционного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содержания, в том числе продукция антикоррупционной направленности (буклеты, памятки и др.), разработанные Департаментом по профилактике коррупционных и иных правонарушений Администрации Томской области, Генеральной прокуратурой Российской Федерации и др.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Также в исполнительных органах Томской области размещаются самостоятельно подготовленные, в том числе совместно с подведомственными учреждениями, памятки антикоррупционной направленности.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Так, например,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 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2025 году Комитетом по обеспечению деятельности мировых судей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разработаны памятки о противодействии коррупции:                      «О понятии «коррупция», «О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сведениях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о родственниках и свойственниках», «Особенности заполнения в справке о доходах сведений об имуществе, полученном           в порядке наследования».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областной газете с информационными материалами Департамента труда             и занятости населения Томской области «Кадры решают всё» разм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ещена информационная памятка о том, что следует знать о коррупции; на стенде Департамента природных ресурсов и охраны окружающей среды Томской области            размещены памятки: «О том, что нужно знать о коррупции», О выполнении иной оплачиваемой работы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ограничения и запреты, связанные с гражданской службой»           и др.; Департаментом лицензирования и регионального государственного контроля Томской области размещены памятки: «Куда сообщать о фактах коррупции»,  памятка «Что нужно знать о коррупции».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Указанная продукция размещена на информационных стендах и официальных сайтах исполнительных органов Томской области, а также направлена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подведомственные учреждения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bidi="ru-RU"/>
        </w:rPr>
        <w:t xml:space="preserve"> для использования при осуществлении комплекса просветительских мероприятий (лекции, семинары, круглые столы и др.).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Организация и проведение мероприятий в областных государственных образовательных организациях Томской области, направленных на формирование антикоррупционных навыков у студентов и школьников (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квесты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, тематические олимпиады, научные и практико-ориентированные семинары, консультации и др.)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областных государственных бюджетных учреждениях (организациях),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отношении которых Департамент образования Томской области осуществляет функции и полномочия учредителя, организованы и проведены следующие мероприятия: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1. В 34 образовательных организациях (учреждениях) Томской области организованы и проведены классные часы, открытые уроки, показы видеороликов, конкурсы, деловые игры, онлайн-викторины и иные мероприятия на темы:                «Можно ли по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бедить коррупцию?», «Коррупция и ответственность за коррупционные деяния», «Скажем коррупции «Нет»!», «Образование против коррупции»,                        «Без коррупции с детства» и др., в том числе с приглашением сотрудников правоохранительных органов.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Мероприятия проводились, в том числе, с применением дистанционных технологий. Всего в указанных мероприятиях приняли участие 19066 обучающихся,           а также 2598 педагогических работников и родителей (законных представителей).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2. Проводится просвещение обучающихся по темам антикоррупционной направленности в рамках учебных дисци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плин «Обществознание», «Основы права», «История», «Правовое обеспечение профессиональной деятельности», «Педагогический менеджмент», «Экономика», «Экономика организации»,            «Правовое и документационное обеспечение в профессиональной деятельности».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3. Образовательными организациями Томской области организована трансляция информационных постов антикоррупционной направленности                       для студентов на платформах в группах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Вконтакте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 и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Телеграм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4. Проводится демонстрация видеороликов и презентаций антикоррупционного характера, организовано их размещение на сайтах (информационных стендах)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всех подведомственных организаций (учреждений).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Осуществление работы по формированию у служащих Томской области             и работников государственны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х органов Томской области, органов власти               Томской области, государственных и муниципальных организаций Томской области отрицательного отношения к коррупции с привлечением к данной работе общественности, других институтов гражданского общества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формирования у государственных гражданских Томской обл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асти, муниципальных служащих в Томской области и работников государственных органов Томской области, органов местного самоуправления муниципальных образований Томской области, а также государственных и муниципальных организаций               Томской област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 отрицательного отношения к коррупции Департаментом                          по профилактике коррупционных и иных правонарушений Администрации              Томской области в 2025 году проведено 20 мероприятий антикоррупционной направленности, в том числе: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совещания для муниципальных служащих Томской области на базе Совета муниципальных образований Томской области;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совещания для муниципальных служащих и лиц, замещающих муниципальные должности, на базе ОГБУ «Томский региональный ресурсный центр», включая совещания для впервые принятых государственных гражданских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муниципальных служащих;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выездные совещания для муниципальных служащих, глав сельских поселений, руководителей учреждений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Тегульдетского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области на базе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Тегульдетского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 на базе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 на базе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района Томской области, Думы Томского района;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совещания для государственных служащих на базе Администрации Томской области;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совещание для сотрудников Федерального казенного учреждения дополнительного профессионального образования «Томский институт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повышения квалификации работников Федеральной службы исполнения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наказаний» на базе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ФКУ ДПО Томский ИПКР ФСИН;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совещание для студентов ЮИ ТГУ на базе Томского государственного университета.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Указанные мероприятия проходили, в том числе, с участием представителей прокуратуры Томского области.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Также для участия в заседаниях комиссий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государственных гражданских и муниципальных служащих Томской области и урегулированию конфликта интересов в качестве независимых экспертов приглашаются представители некоммерческих (общественных)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организаций.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Осуществление комплекса организационных, разъяснительных и иных мер,               в том числе проведение семинаров по соблюдению служащими Томской области требований к служебному поведению и (или) требований об урегулировании конфликта интересов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рамках осуществления комплекса организационных, разъяснительных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 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коррупции, в 2025 году проведены профилактические мероприятия: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1) 604 - органами государственной власти Томской области: к примеру, Департамен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 государственного заказа Томской области проведен семинар                        по вопросам, возникающим при заполнении сведений о доходах, об имуществе                     и обязательствах имущественного характера, совместно с Ассоциацией «Правовой це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нтр «РИМ» разработаны памятки «Уголовная ответственность за злоупотребление в сфере закупок. Обзор судебной практики», «Предоставление сведений                       о размещении информации в информационно-телекоммуникационной сети «Интернет», «Обязанности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требования, ограничения и запреты государственных гражданских служащих», проведен семинар на тему «Антикоррупционная работа                в Департаменте государственного заказа Томской области», проведено тестирование гражданских служащих на знание зако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нодательства о противодействии коррупции; Департаментом инвестиционной и промышленной политики Томской области проведены семинары для государственных гражданских служащих по правовым аспектам уведомления представителя нанимателя о намерении выполнять иную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оплачиваемую работу;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лицензирования и регионального государственного контроля Томской области проведено рабочее совещание                         с государственными гражданскими служащими о необходимости сообщать                          в кадровую службу Департ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амента о ставших известными изменениях сведений, содержащихся в анкете для поступления на государственную службу Российской Федерации, Департаментом охотничьего и рыбного хозяйства Томской области проведено совещание с сотрудниками Департамента по вопросу: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Ситуации конфликта интересов, возникающие у сотрудников Департамента при исполнении своих полномочий, и порядок их урегулирования» и др.;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2) 342 - органами местного самоуправления муниципальных образований Томской области.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 проведено 20 мероприятий по вопросам  соблюдения служащими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 требований к служебному поведению                   и (или) требований об урегулировании конфликта интересов, обновлены                                 5 памяток и актуализированы 3 методических материала антикоррупционной направленности.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eastAsia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Разработка и размещение в средствах массовой информации материалов               и информации по антикоррупционной тематике</w:t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2025 году Департаментом информационной политики Администрации Томской области в средствах массовой информации опубликовано более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15 тематических материалов просветительского, профилактического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информационного характера.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Для размещения в новостном разделе официального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интернет-портала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Администрации Томской области в 202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5 году Департамент информационной политики Администрации Томской области подготовил шесть антикоррупционных материалов, в том числе по итогам февральской пресс-конференции заместителя Губернатора Томской области по вопросам безопасности И.В. Толстоносова.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Все материалы отправлены через систему рассылки (в списке рассылки новостей от пресс-службы Администрации Томской области более 150 электронных адресов СМИ).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официальном интернет-портале Администрации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отчетном периоде размещено 52 материала и информации по антикоррупционной тематике.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в мессенджере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 w:eastAsia="en-US"/>
        </w:rPr>
        <w:t xml:space="preserve">MAX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создан канал на коммуникативной площадке «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Антикоррупция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– 70», на котором в отчетном периоде размещено 33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информационных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сообщения.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мероприятий по информированию общественности о результатах работы государственных органов Томской области и органов власти Томской области в сфере противодействия коррупции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Информирование общественности о результатах работы государственных органов Томской области и органов власти Томской области по профилактике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коррупционных и иных правонарушений осуществляется Департаментом информационной политики Администрации Томской области в соответствии                     с рекомендациями Министерства цифрового развития, связи и массовых коммуникаций Российской Федерации.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Информация о пр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оводимых мероприятиях и принимаемых администрацией региона мерах по предупреждению коррупционных и иных правонарушений доводится до общественности, в том числе, через официальный интернет-портал Администрации Томской области и средства массовой информации.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Регулярно 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официальном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интернет-портале Администрации Томской области освещается деятельность Комиссии по координации работы по противодействию коррупции в Томской области под председательством Губернатора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новостном разделе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официального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интернет-портала Администрации  Томской области в отчетном периоде опубликовано 8 тематических пресс-релизов, растиражированных в дальнейшем в томских средствах массовой информации.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Презентационные материалы антикоррупционного характера регулярно размещаются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разделе «Противодействие коррупции» официального интернет-портала Администрац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ии Томской области и дублируются на официальных сайтах иных органов государственной власти Томской области, подведомственных им учреждений, а также на официальных интернет-страницах органов местного самоуправления муниципальных образований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Размещение на официальном интернет-портале «Электронная Администрация Томской области» (</w:t>
      </w:r>
      <w:hyperlink r:id="rId28" w:tooltip="www.tomsk.gov.ru" w:history="1">
        <w:r>
          <w:rPr>
            <w:rFonts w:ascii="PT Astra Serif" w:hAnsi="PT Astra Serif" w:eastAsia="PT Astra Serif" w:cs="PT Astra Serif"/>
            <w:i/>
            <w:sz w:val="26"/>
            <w:szCs w:val="26"/>
            <w:highlight w:val="white"/>
          </w:rPr>
          <w:t xml:space="preserve">www.tomsk.gov.ru</w:t>
        </w:r>
      </w:hyperlink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), официальных сайтах государственных органов Томской области и органов власти Томской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области,                     а также в СМИ информации об антикоррупционной деятельности,                               в том числе обеспечение предания гласности каждого установленного факта коррупции в порядке, установленном действующим законодательством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Размещение информации об антикоррупционной деятельн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ости, в том числе обеспечение предания гласности каждого установленного факта коррупции                         в порядке, установленном действующим законодательством, осуществляется                       на официальном интернет-портале Администрации Томск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ой области, официальных сайтах исполнительных органов Томской области, государственных органов             Томской области, органов местного самоуправления муниципальных                    образований Томской области в разделе «Противодействие коррупции»,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котором публикуются нормативные правовые акты в данной сфере, методические материалы, информационные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видеоролики и памятки. Также размещается информация о деятельности комиссий по соблюдению требований к служебному поведению и урегулированию конфликта интересов. Формой обратной связи в нем служит сервис «Сообщить о коррупции».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официальном информационном ресурсе Администрации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сайтах исполнительных органов Томской области также размещаются данные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выполнении мероприятий планов противодействия коррупции, результаты антикоррупционного мониторинга, иная значимая и открытая для общественности информация в этой сфере.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отчетном периоде на официальном интернет-портале Администрации Томской области и в томских средствах массовой информации размещалась информация: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о проводимых мероприятиях и принимаемых администрацией региона мерах по предупреждению коррупционных и иных нарушений;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деятельности Комиссии по координации работы по противодействию коррупции  в Томской области под председательством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Губернатора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и Комиссии Администрации Томской области по соблюдению требований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и урегулированию конфликта интересов;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о выполнении органами исполнительной власти Томской области Плана противодействия коррупции;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о результатах антикоррупционного мониторинга и др.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существление работы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            и муниципальных нужд и в рамках з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аконодательства Российской Федерации                    о закупках товаров, работ, услуг отдельными видами юридических лиц, в том числе работы, направленной на выявление личной заинтересованности служащих (работников), которая приводит или может привести к</w:t>
      </w: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 конфликту интересов</w:t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Работа по профилактике коррупционных и иных правонарушений в рамках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и в рамках законодательства Российской Федерации о закупках товаров, работ, услуг отдельными видами юридических лиц, в том числе работа, направленная                          на выявление личной заинтересованности служащих (работников), которая приводит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или может привести к конфликту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интересов, органами власти Томской области осуществляется в соответствии с действующим законодательством.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Заку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пки товаров, работ, услуг проводятся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целью реали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зации мер, способствующих снижению уровня коррупции               при осуществлении закупок товаров, работ, услуг для государственных                               и муниципальных нужд, в ходе осуществления закупок обеспечена их открытость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 доступность. Обеспечение публичности и открытости деятельности органов власти Томской области осуществляется посредством размещения правовых актов                        о нормировании в сфере закупок, плана закупок, плана-графика, информации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  об осуще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ствлении закупки товаров, работ, услуг для обеспечения государственных              и муниципальных нужд, сведений о заключенных государственных контрактах                  на официальном сайте Единой информационной системы в сфере закупок.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договоры в сфере закупок товаров, работ, услуг для обеспечения государственных нужд вводятся стандартные антикоррупционные оговорки.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non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Проведение мероприятий, направленных на повышение престижа государственной гражданской и муниципальной службы, доведение соответствующей информации до сведения государственных органов                    Томской области и органов власти Томской области</w:t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/>
          <w:i/>
          <w:sz w:val="26"/>
          <w:szCs w:val="26"/>
          <w:highlight w:val="non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bCs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bCs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повышения открытости и престиж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 государственной гражданской службы Департамент государственной гражданской службы Администрации  Томской области обновляет раздел «Кадровая политика» на официальном сайте Администрации Томской области. В этом разделе представлена информация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     об условиях и порядке поступления на государственную гражданскую службу Томской области, о проведении аттестации, а также об организации дополнительного профессионального образования государственных гражданских служащих              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сайте также есть подраздел «Конкурсы на замещение вакантных должностей и включение в кадровый резерв» (Единая база вакансий).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этом разделе публикуются информацион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ные сообщения всех исполнительных органов               Томской области о проведении конкурсов, об итогах конкурсов на вакантные должности и включение в кадровый резерв государственной гражданской службы Томской области, о проведении конкурсов на вакантные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должности руководителей областных государственных учреждений, на включение в отраслевой резерв, аттестации руководителей областных государственных образовательных организаций, о проведении конкурсов на вакантные должности и включение                     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отраслевой резерв руководителей областных государственных унитарных предприятий.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кандидаты на замещение вакантных должностей государственной гражданской службы Томской области (на включение в кадровые резервы государственной гражданской службы Томской области для замещения указанных должностей) могут пройти предварите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льное тестирование вне рамок конкурса. Тестирование включает в себя тестовые задания на знание законодательства Российской Федерации о противодействии коррупции. Это повышает доступность информации о методах оценки и мотивирует кандидатов к самоподготовке.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Ежегодн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в рамках программ дополнительного профессионального образования рассматриваются темы, направленные на формирование у служащих понимания социальной ценности государственной гражданской и муниципальной службы, ее принципов и приоритетов в области противоде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йствия коррупции: «Формирование антикоррупционной компетентности государственного гражданского/муниципального служащего», «Правовые основы противодействия коррупции», «Профилактика коррупционных правонарушений на государственной гражданской службе» и т.д.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целью повышения престижа государственной гражданской и муниципальной службы Томской области один раз в два года проводятся конкурсы  (далее – Конкурс) на звание: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1. «Лучший государственный гражданский служащий Томской области», положение о котором утверждено распоряжением Губернатора Томской области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от 02.11.2012 № 347-р «О конкурсе на звание «Лучший государственный гражданский служащий Томской области». Конкурс стартовал в октябре 2025 года, итоги подведены в декабре 2025 года.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2. «Лучший муниципальный служащий в Томской области», положение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котором утверждено распоряжением Губернатора Томской области от 22.09.2023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№ 268-р «О конкурсе на звание «Лучший муниципальный служащий в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». Конкурс стартовал в 2025 году, в нем принял участие 141 муниципальный служащий в Томской области, итоги конкурса подведены в декабре 2025 года. Победителями Конкурса стали 11 муниципальных служащих из 9 муниципалитетов Томской области (Александровский,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Асиновский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Кожевниковский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Каргасокский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Первомайский муниципальные районы,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г. Томск и ЗАТО Северск). Департаментом информацион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ной политики Администрации Томской области организовано информационное освещение конкурса с целью повышения престижа муниципальной службы, выявления                    и поддержки муниципальных служащих, внесших значительный вклад в местное самоуправление.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Кроме того, на базе Корпоративного университета управления Администрации Томской области каждый год проводятся мероприятия для студентов Юридического института Томского государственного университета для знакомства будущих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юристов с государственной гражданской службой в исполнительных органах региона (порядок поступления, карьерный рост, квалификационные требования). В 2025 году в подобном мероприятии приняли участие 47 студентов.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целях оказания содействия органам местного самоуправления муниципальных образов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аний Томской области в организации работы                                  по противодействию коррупции Департаментом по профилактике коррупционных                   и иных правонарушений Администрации Томской области в 2025 году организованы и проведены: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 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областное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семинар-совещание на базе Совета муниципальных образований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Томской области (совместно с сотрудниками прокуратуры Томской области)                        для муниципальных служащих по теме «Порядок заполнения сведений о доходах              за 2024 отчетный год» (100 участников от органов местного самоуправления);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- 1 совещание для лиц, ответственных за противодействие коррупции в органах местного самоуправления Томской области, по теме «Конфликт интересов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на муниципальной службе, иная оплачиваемая работа, анализ сведений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о родственниках и свойственниках, организация антикоррупционной работы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в подведомственных учреждениях» (25 участников);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совещание на базе Думы Томского района для управляющих делами администраций районов, городских се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льских поселений, муниципальных служащих  и сотрудников муниципальных образований г. Томск, ЗАТО Северск, Томского района по теме «Вопросы конфликта интересов, иной оплачиваемой работы, антикоррупционной работы в муниципальных учреждениях» (15 участников);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совещание для государственных и муниципальных служащих по теме «Практические вопросы противодействия коррупции и профилактика коррупционных правонарушений» (более 50 участников);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- 2 выездных совещания для муниципальных служащих, глав сельских поселений, руководителей учреждений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Колпашевского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Тегульдетского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Бакчарского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районов Томской области по теме «Вопросы конфликта интересов, иной оплачиваемой работы, антикоррупционной работы в муниципальных учреждениях, работы комиссии по соблюдению требований к служебному поведению, анализа сведений о доходах» (55 участников);  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вещание на базе ОГБУ «Томский региональный ресурсный центр»                для лиц, замещающих муниципальные должности, по теме «Профилактика коррупционных правонарушений среди лиц, замещающих муниципальные должности» (16 глав районов/сельских поселений);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-1 онлайн-совещание для муниципальных служащих Приазовского района Запорожской области по теме «Вопросы конфликта интересов, антикоррупционной работы в муниципальных учреждениях, анализа сведений о доходах (20 участников);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- 1 совеща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ние для муниципальных служащих по теме «Вопросы, связанные                 с возможностью возникновения конфликта интересов на муниципальной службе, осуществления иной оплачиваемой работы, заполнения сведений о доходах»                    (35 участников);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 консультации для органов местного самоуправления муниципальных образований Томской области по вопросам проведения анализа сведений о доходах, расходах, об имуществе и обязательствах имущественного характера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br/>
        <w:t xml:space="preserve">за отчетный 2024 год, урегулирования конфликта интересов, соблюдения антикоррупционных стандартов участниками СВО и др.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 w:themeFill="background1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i/>
          <w:sz w:val="26"/>
          <w:szCs w:val="26"/>
          <w:highlight w:val="white"/>
        </w:rPr>
        <w:t xml:space="preserve">Консультативная помощь в организации работы с обращениями граждан           и юридических лиц о фактах совершения коррупционных правонарушений в органах местного самоуправления муниципальных образований Томской области</w:t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pStyle w:val="949"/>
        <w:ind w:firstLine="709"/>
        <w:jc w:val="both"/>
        <w:tabs>
          <w:tab w:val="left" w:pos="604" w:leader="none"/>
        </w:tabs>
        <w:rPr>
          <w:rFonts w:ascii="PT Astra Serif" w:hAnsi="PT Astra Serif" w:cs="PT Astra Serif"/>
          <w:i/>
          <w:sz w:val="26"/>
          <w:szCs w:val="26"/>
          <w:highlight w:val="white"/>
        </w:rPr>
      </w:pP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  <w:r>
        <w:rPr>
          <w:rFonts w:ascii="PT Astra Serif" w:hAnsi="PT Astra Serif" w:cs="PT Astra Serif"/>
          <w:i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Департаментом по профилактике коррупционных и иных правонарушений Администрации Томской области органам местного самоуправления муниципальных обра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зований Томской области на постоянной основе оказывается консультативная помощь в организации работы с обращениями граждан и организаций, разъясняются нормы законодательства Российской Федерации, применяемые при подготовке ответов на поступившие обращения.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p>
      <w:pPr>
        <w:ind w:firstLine="709"/>
        <w:jc w:val="both"/>
        <w:shd w:val="clear" w:color="auto" w:fill="ffffff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851" w:right="851" w:bottom="851" w:left="1418" w:header="0" w:footer="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949"/>
      </w:pPr>
      <w:r>
        <w:separator/>
      </w:r>
      <w:r/>
    </w:p>
  </w:endnote>
  <w:endnote w:type="continuationSeparator" w:id="0">
    <w:p>
      <w:pPr>
        <w:pStyle w:val="949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</w:pPr>
    <w:r>
      <w:rPr>
        <w:sz w:val="2"/>
        <w:szCs w:val="2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</w:pPr>
    <w:r>
      <w:rPr>
        <w:sz w:val="2"/>
        <w:szCs w:val="2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49"/>
      </w:pPr>
      <w:r>
        <w:separator/>
      </w:r>
      <w:r/>
    </w:p>
  </w:footnote>
  <w:footnote w:type="continuationSeparator" w:id="0">
    <w:p>
      <w:pPr>
        <w:pStyle w:val="949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/>
    <w:r/>
  </w:p>
  <w:p>
    <w:pPr>
      <w:pStyle w:val="741"/>
      <w:jc w:val="center"/>
    </w:pPr>
    <w:r/>
    <w:r/>
  </w:p>
  <w:p>
    <w:pPr>
      <w:pStyle w:val="741"/>
      <w:jc w:val="center"/>
      <w:rPr>
        <w:rFonts w:ascii="PT Astra Serif" w:hAnsi="PT Astra Serif" w:cs="PT Astra Serif"/>
        <w:sz w:val="24"/>
        <w:szCs w:val="24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eastAsia="PT Astra Serif" w:cs="PT Astra Serif"/>
        <w:sz w:val="24"/>
        <w:szCs w:val="24"/>
      </w:rPr>
      <w:t xml:space="preserve">52</w:t>
    </w:r>
    <w:r>
      <w:rPr>
        <w:rFonts w:ascii="PT Astra Serif" w:hAnsi="PT Astra Serif" w:eastAsia="PT Astra Serif" w:cs="PT Astra Serif"/>
        <w:sz w:val="24"/>
        <w:szCs w:val="24"/>
      </w:rPr>
      <w:fldChar w:fldCharType="end"/>
    </w:r>
    <w:r>
      <w:rPr>
        <w:rFonts w:ascii="PT Astra Serif" w:hAnsi="PT Astra Serif" w:cs="PT Astra Serif"/>
        <w:sz w:val="24"/>
        <w:szCs w:val="24"/>
      </w:rPr>
    </w:r>
    <w:r>
      <w:rPr>
        <w:rFonts w:ascii="PT Astra Serif" w:hAnsi="PT Astra Serif" w:cs="PT Astra Serif"/>
        <w:sz w:val="24"/>
        <w:szCs w:val="24"/>
      </w:rPr>
    </w:r>
  </w:p>
  <w:p>
    <w:pPr>
      <w:pStyle w:val="74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94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54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3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59" w:hanging="360"/>
        <w:tabs>
          <w:tab w:val="num" w:pos="0" w:leader="none"/>
        </w:tabs>
      </w:pPr>
      <w:rPr>
        <w:rFonts w:hint="default" w:ascii="Arial" w:hAnsi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97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9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19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3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59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79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99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19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6">
    <w:name w:val="Heading 1"/>
    <w:basedOn w:val="728"/>
    <w:next w:val="728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7">
    <w:name w:val="Heading 2"/>
    <w:basedOn w:val="728"/>
    <w:next w:val="728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8">
    <w:name w:val="Heading 3"/>
    <w:basedOn w:val="728"/>
    <w:next w:val="728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9">
    <w:name w:val="Heading 4"/>
    <w:basedOn w:val="728"/>
    <w:next w:val="728"/>
    <w:link w:val="7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728"/>
    <w:next w:val="728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1">
    <w:name w:val="Heading 6"/>
    <w:basedOn w:val="728"/>
    <w:next w:val="728"/>
    <w:link w:val="7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728"/>
    <w:next w:val="728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728"/>
    <w:next w:val="728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728"/>
    <w:next w:val="728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25">
    <w:name w:val="Header"/>
    <w:basedOn w:val="728"/>
    <w:link w:val="8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26">
    <w:name w:val="Footer"/>
    <w:basedOn w:val="728"/>
    <w:link w:val="8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727">
    <w:name w:val="Caption"/>
    <w:basedOn w:val="728"/>
    <w:next w:val="728"/>
    <w:link w:val="8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28" w:default="1">
    <w:name w:val="Normal"/>
    <w:qFormat/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paragraph" w:styleId="732" w:customStyle="1">
    <w:name w:val="Заголовок 11"/>
    <w:basedOn w:val="728"/>
    <w:next w:val="72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3" w:customStyle="1">
    <w:name w:val="Заголовок 21"/>
    <w:basedOn w:val="728"/>
    <w:next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4" w:customStyle="1">
    <w:name w:val="Заголовок 31"/>
    <w:basedOn w:val="728"/>
    <w:next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 w:customStyle="1">
    <w:name w:val="Заголовок 41"/>
    <w:basedOn w:val="728"/>
    <w:next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6" w:customStyle="1">
    <w:name w:val="Заголовок 51"/>
    <w:basedOn w:val="728"/>
    <w:next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 w:customStyle="1">
    <w:name w:val="Заголовок 61"/>
    <w:basedOn w:val="728"/>
    <w:next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 w:customStyle="1">
    <w:name w:val="Заголовок 71"/>
    <w:basedOn w:val="728"/>
    <w:next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 w:customStyle="1">
    <w:name w:val="Заголовок 81"/>
    <w:basedOn w:val="728"/>
    <w:next w:val="7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 w:customStyle="1">
    <w:name w:val="Заголовок 91"/>
    <w:basedOn w:val="728"/>
    <w:next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41" w:customStyle="1">
    <w:name w:val="Верхний колонтитул1"/>
    <w:basedOn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42" w:customStyle="1">
    <w:name w:val="Нижний колонтитул1"/>
    <w:basedOn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paragraph" w:styleId="743" w:customStyle="1">
    <w:name w:val="Название объекта1"/>
    <w:basedOn w:val="728"/>
    <w:next w:val="7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44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61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62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paragraph" w:styleId="763" w:customStyle="1">
    <w:name w:val="Заголовок 11"/>
    <w:basedOn w:val="728"/>
    <w:link w:val="979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character" w:styleId="764" w:customStyle="1">
    <w:name w:val="Title Char"/>
    <w:basedOn w:val="729"/>
    <w:uiPriority w:val="10"/>
    <w:rPr>
      <w:sz w:val="48"/>
      <w:szCs w:val="48"/>
    </w:rPr>
  </w:style>
  <w:style w:type="character" w:styleId="765" w:customStyle="1">
    <w:name w:val="Subtitle Char"/>
    <w:basedOn w:val="729"/>
    <w:uiPriority w:val="11"/>
    <w:rPr>
      <w:sz w:val="24"/>
      <w:szCs w:val="24"/>
    </w:rPr>
  </w:style>
  <w:style w:type="character" w:styleId="766" w:customStyle="1">
    <w:name w:val="Quote Char"/>
    <w:uiPriority w:val="29"/>
    <w:rPr>
      <w:i/>
    </w:rPr>
  </w:style>
  <w:style w:type="character" w:styleId="767" w:customStyle="1">
    <w:name w:val="Intense Quote Char"/>
    <w:link w:val="983"/>
    <w:uiPriority w:val="30"/>
    <w:rPr>
      <w:i/>
    </w:rPr>
  </w:style>
  <w:style w:type="character" w:styleId="768" w:customStyle="1">
    <w:name w:val="Footnote Text Char"/>
    <w:uiPriority w:val="99"/>
    <w:rPr>
      <w:sz w:val="18"/>
    </w:rPr>
  </w:style>
  <w:style w:type="character" w:styleId="769" w:customStyle="1">
    <w:name w:val="Endnote Text Char"/>
    <w:uiPriority w:val="99"/>
    <w:rPr>
      <w:sz w:val="20"/>
    </w:rPr>
  </w:style>
  <w:style w:type="paragraph" w:styleId="770" w:customStyle="1">
    <w:name w:val="Заголовок 12"/>
    <w:basedOn w:val="728"/>
    <w:next w:val="728"/>
    <w:link w:val="965"/>
    <w:uiPriority w:val="9"/>
    <w:qFormat/>
    <w:pPr>
      <w:keepLines/>
      <w:keepNext/>
      <w:spacing w:before="480" w:after="200" w:line="276" w:lineRule="auto"/>
      <w:outlineLvl w:val="0"/>
    </w:pPr>
    <w:rPr>
      <w:rFonts w:ascii="Arial" w:hAnsi="Arial" w:eastAsia="Arial" w:cs="Arial"/>
      <w:sz w:val="40"/>
      <w:szCs w:val="40"/>
      <w:lang w:eastAsia="en-US"/>
    </w:rPr>
  </w:style>
  <w:style w:type="paragraph" w:styleId="771" w:customStyle="1">
    <w:name w:val="Заголовок 13"/>
    <w:basedOn w:val="728"/>
    <w:next w:val="728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2" w:customStyle="1">
    <w:name w:val="Heading 1 Char"/>
    <w:link w:val="771"/>
    <w:uiPriority w:val="9"/>
    <w:rPr>
      <w:rFonts w:ascii="Arial" w:hAnsi="Arial" w:eastAsia="Arial" w:cs="Arial"/>
      <w:sz w:val="40"/>
      <w:szCs w:val="40"/>
    </w:rPr>
  </w:style>
  <w:style w:type="paragraph" w:styleId="773" w:customStyle="1">
    <w:name w:val="Заголовок 21"/>
    <w:basedOn w:val="728"/>
    <w:next w:val="728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4" w:customStyle="1">
    <w:name w:val="Heading 2 Char"/>
    <w:link w:val="773"/>
    <w:uiPriority w:val="9"/>
    <w:rPr>
      <w:rFonts w:ascii="Arial" w:hAnsi="Arial" w:eastAsia="Arial" w:cs="Arial"/>
      <w:sz w:val="34"/>
    </w:rPr>
  </w:style>
  <w:style w:type="paragraph" w:styleId="775" w:customStyle="1">
    <w:name w:val="Заголовок 31"/>
    <w:basedOn w:val="728"/>
    <w:next w:val="728"/>
    <w:link w:val="7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6" w:customStyle="1">
    <w:name w:val="Heading 3 Char"/>
    <w:link w:val="775"/>
    <w:uiPriority w:val="9"/>
    <w:rPr>
      <w:rFonts w:ascii="Arial" w:hAnsi="Arial" w:eastAsia="Arial" w:cs="Arial"/>
      <w:sz w:val="30"/>
      <w:szCs w:val="30"/>
    </w:rPr>
  </w:style>
  <w:style w:type="paragraph" w:styleId="777" w:customStyle="1">
    <w:name w:val="Заголовок 41"/>
    <w:basedOn w:val="728"/>
    <w:next w:val="728"/>
    <w:link w:val="7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Heading 4 Char"/>
    <w:link w:val="777"/>
    <w:uiPriority w:val="9"/>
    <w:rPr>
      <w:rFonts w:ascii="Arial" w:hAnsi="Arial" w:eastAsia="Arial" w:cs="Arial"/>
      <w:b/>
      <w:bCs/>
      <w:sz w:val="26"/>
      <w:szCs w:val="26"/>
    </w:rPr>
  </w:style>
  <w:style w:type="paragraph" w:styleId="779" w:customStyle="1">
    <w:name w:val="Заголовок 51"/>
    <w:basedOn w:val="728"/>
    <w:next w:val="728"/>
    <w:link w:val="7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0" w:customStyle="1">
    <w:name w:val="Heading 5 Char"/>
    <w:link w:val="779"/>
    <w:uiPriority w:val="9"/>
    <w:rPr>
      <w:rFonts w:ascii="Arial" w:hAnsi="Arial" w:eastAsia="Arial" w:cs="Arial"/>
      <w:b/>
      <w:bCs/>
      <w:sz w:val="24"/>
      <w:szCs w:val="24"/>
    </w:rPr>
  </w:style>
  <w:style w:type="paragraph" w:styleId="781" w:customStyle="1">
    <w:name w:val="Заголовок 61"/>
    <w:basedOn w:val="728"/>
    <w:next w:val="728"/>
    <w:link w:val="7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2" w:customStyle="1">
    <w:name w:val="Heading 6 Char"/>
    <w:link w:val="781"/>
    <w:uiPriority w:val="9"/>
    <w:rPr>
      <w:rFonts w:ascii="Arial" w:hAnsi="Arial" w:eastAsia="Arial" w:cs="Arial"/>
      <w:b/>
      <w:bCs/>
      <w:sz w:val="22"/>
      <w:szCs w:val="22"/>
    </w:rPr>
  </w:style>
  <w:style w:type="paragraph" w:styleId="783" w:customStyle="1">
    <w:name w:val="Заголовок 71"/>
    <w:basedOn w:val="728"/>
    <w:next w:val="728"/>
    <w:link w:val="7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4" w:customStyle="1">
    <w:name w:val="Heading 7 Char"/>
    <w:link w:val="7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 w:customStyle="1">
    <w:name w:val="Заголовок 81"/>
    <w:basedOn w:val="728"/>
    <w:next w:val="728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 w:customStyle="1">
    <w:name w:val="Heading 8 Char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 w:customStyle="1">
    <w:name w:val="Заголовок 91"/>
    <w:basedOn w:val="728"/>
    <w:next w:val="728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Heading 9 Char"/>
    <w:link w:val="787"/>
    <w:uiPriority w:val="9"/>
    <w:rPr>
      <w:rFonts w:ascii="Arial" w:hAnsi="Arial" w:eastAsia="Arial" w:cs="Arial"/>
      <w:i/>
      <w:iCs/>
      <w:sz w:val="21"/>
      <w:szCs w:val="21"/>
    </w:rPr>
  </w:style>
  <w:style w:type="paragraph" w:styleId="789">
    <w:name w:val="List Paragraph"/>
    <w:basedOn w:val="728"/>
    <w:uiPriority w:val="34"/>
    <w:qFormat/>
    <w:pPr>
      <w:contextualSpacing/>
      <w:ind w:left="720"/>
    </w:pPr>
  </w:style>
  <w:style w:type="paragraph" w:styleId="790">
    <w:name w:val="No Spacing"/>
    <w:link w:val="986"/>
    <w:uiPriority w:val="1"/>
    <w:qFormat/>
  </w:style>
  <w:style w:type="paragraph" w:styleId="791">
    <w:name w:val="Title"/>
    <w:basedOn w:val="728"/>
    <w:next w:val="728"/>
    <w:link w:val="7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2" w:customStyle="1">
    <w:name w:val="Название Знак"/>
    <w:link w:val="791"/>
    <w:uiPriority w:val="10"/>
    <w:rPr>
      <w:sz w:val="48"/>
      <w:szCs w:val="48"/>
    </w:rPr>
  </w:style>
  <w:style w:type="paragraph" w:styleId="793">
    <w:name w:val="Subtitle"/>
    <w:basedOn w:val="728"/>
    <w:next w:val="728"/>
    <w:link w:val="794"/>
    <w:uiPriority w:val="11"/>
    <w:qFormat/>
    <w:pPr>
      <w:spacing w:before="200" w:after="200"/>
    </w:pPr>
    <w:rPr>
      <w:sz w:val="24"/>
      <w:szCs w:val="24"/>
    </w:rPr>
  </w:style>
  <w:style w:type="character" w:styleId="794" w:customStyle="1">
    <w:name w:val="Подзаголовок Знак"/>
    <w:link w:val="793"/>
    <w:uiPriority w:val="11"/>
    <w:rPr>
      <w:sz w:val="24"/>
      <w:szCs w:val="24"/>
    </w:rPr>
  </w:style>
  <w:style w:type="paragraph" w:styleId="795">
    <w:name w:val="Quote"/>
    <w:basedOn w:val="728"/>
    <w:next w:val="728"/>
    <w:link w:val="796"/>
    <w:uiPriority w:val="29"/>
    <w:qFormat/>
    <w:pPr>
      <w:ind w:left="720" w:right="720"/>
    </w:pPr>
    <w:rPr>
      <w:i/>
    </w:rPr>
  </w:style>
  <w:style w:type="character" w:styleId="796" w:customStyle="1">
    <w:name w:val="Цитата 2 Знак"/>
    <w:link w:val="795"/>
    <w:uiPriority w:val="29"/>
    <w:rPr>
      <w:i/>
    </w:rPr>
  </w:style>
  <w:style w:type="paragraph" w:styleId="797">
    <w:name w:val="Intense Quote"/>
    <w:basedOn w:val="728"/>
    <w:next w:val="728"/>
    <w:link w:val="7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8" w:customStyle="1">
    <w:name w:val="Выделенная цитата Знак"/>
    <w:link w:val="797"/>
    <w:uiPriority w:val="30"/>
    <w:rPr>
      <w:i/>
    </w:rPr>
  </w:style>
  <w:style w:type="paragraph" w:styleId="799" w:customStyle="1">
    <w:name w:val="Верхний колонтитул1"/>
    <w:basedOn w:val="728"/>
    <w:link w:val="80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00" w:customStyle="1">
    <w:name w:val="Header Char"/>
    <w:link w:val="799"/>
    <w:uiPriority w:val="99"/>
  </w:style>
  <w:style w:type="paragraph" w:styleId="801" w:customStyle="1">
    <w:name w:val="Нижний колонтитул1"/>
    <w:basedOn w:val="728"/>
    <w:link w:val="80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02" w:customStyle="1">
    <w:name w:val="Footer Char"/>
    <w:link w:val="801"/>
    <w:uiPriority w:val="99"/>
  </w:style>
  <w:style w:type="paragraph" w:styleId="803" w:customStyle="1">
    <w:name w:val="Название объекта1"/>
    <w:basedOn w:val="728"/>
    <w:next w:val="728"/>
    <w:link w:val="8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4" w:customStyle="1">
    <w:name w:val="Caption Char"/>
    <w:link w:val="803"/>
    <w:uiPriority w:val="35"/>
    <w:rPr>
      <w:b/>
      <w:bCs/>
      <w:color w:val="4f81bd" w:themeColor="accent1"/>
      <w:sz w:val="18"/>
      <w:szCs w:val="18"/>
    </w:rPr>
  </w:style>
  <w:style w:type="table" w:styleId="805">
    <w:name w:val="Table Grid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0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2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9" w:customStyle="1">
    <w:name w:val="Grid Table 4 - Accent 6"/>
    <w:link w:val="972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0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7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4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fffff" w:themeColor="text1" w:themeTint="00" w:fill="ffffff" w:themeFill="text1" w:themeFillTint="00"/>
      </w:tcPr>
    </w:tblStylePr>
    <w:tblStylePr w:type="band1Vert"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5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3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1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2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3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4" w:customStyle="1">
    <w:name w:val="Lined - Accent 4"/>
    <w:link w:val="98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5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6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7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8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9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0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1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2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3" w:customStyle="1">
    <w:name w:val="Bordered &amp; Lined - Accent 6"/>
    <w:link w:val="97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1">
    <w:name w:val="Hyperlink"/>
    <w:uiPriority w:val="99"/>
    <w:unhideWhenUsed/>
    <w:rPr>
      <w:color w:val="0000ff" w:themeColor="hyperlink"/>
      <w:u w:val="single"/>
    </w:rPr>
  </w:style>
  <w:style w:type="paragraph" w:styleId="932">
    <w:name w:val="footnote text"/>
    <w:basedOn w:val="728"/>
    <w:link w:val="933"/>
    <w:uiPriority w:val="99"/>
    <w:semiHidden/>
    <w:unhideWhenUsed/>
    <w:pPr>
      <w:spacing w:after="40"/>
    </w:pPr>
    <w:rPr>
      <w:sz w:val="18"/>
    </w:rPr>
  </w:style>
  <w:style w:type="character" w:styleId="933" w:customStyle="1">
    <w:name w:val="Текст сноски Знак"/>
    <w:link w:val="932"/>
    <w:uiPriority w:val="99"/>
    <w:rPr>
      <w:sz w:val="18"/>
    </w:rPr>
  </w:style>
  <w:style w:type="character" w:styleId="934">
    <w:name w:val="footnote reference"/>
    <w:uiPriority w:val="99"/>
    <w:unhideWhenUsed/>
    <w:rPr>
      <w:vertAlign w:val="superscript"/>
    </w:rPr>
  </w:style>
  <w:style w:type="paragraph" w:styleId="935">
    <w:name w:val="endnote text"/>
    <w:basedOn w:val="728"/>
    <w:link w:val="936"/>
    <w:uiPriority w:val="99"/>
    <w:semiHidden/>
    <w:unhideWhenUsed/>
  </w:style>
  <w:style w:type="character" w:styleId="936" w:customStyle="1">
    <w:name w:val="Текст концевой сноски Знак"/>
    <w:link w:val="935"/>
    <w:uiPriority w:val="99"/>
    <w:rPr>
      <w:sz w:val="20"/>
    </w:rPr>
  </w:style>
  <w:style w:type="character" w:styleId="937">
    <w:name w:val="endnote reference"/>
    <w:uiPriority w:val="99"/>
    <w:semiHidden/>
    <w:unhideWhenUsed/>
    <w:rPr>
      <w:vertAlign w:val="superscript"/>
    </w:rPr>
  </w:style>
  <w:style w:type="paragraph" w:styleId="938">
    <w:name w:val="toc 1"/>
    <w:basedOn w:val="728"/>
    <w:next w:val="728"/>
    <w:uiPriority w:val="39"/>
    <w:unhideWhenUsed/>
    <w:pPr>
      <w:spacing w:after="57"/>
    </w:pPr>
  </w:style>
  <w:style w:type="paragraph" w:styleId="939">
    <w:name w:val="toc 2"/>
    <w:basedOn w:val="728"/>
    <w:next w:val="728"/>
    <w:uiPriority w:val="39"/>
    <w:unhideWhenUsed/>
    <w:pPr>
      <w:ind w:left="283"/>
      <w:spacing w:after="57"/>
    </w:pPr>
  </w:style>
  <w:style w:type="paragraph" w:styleId="940">
    <w:name w:val="toc 3"/>
    <w:basedOn w:val="728"/>
    <w:next w:val="728"/>
    <w:uiPriority w:val="39"/>
    <w:unhideWhenUsed/>
    <w:pPr>
      <w:ind w:left="567"/>
      <w:spacing w:after="57"/>
    </w:pPr>
  </w:style>
  <w:style w:type="paragraph" w:styleId="941">
    <w:name w:val="toc 4"/>
    <w:basedOn w:val="728"/>
    <w:next w:val="728"/>
    <w:uiPriority w:val="39"/>
    <w:unhideWhenUsed/>
    <w:pPr>
      <w:ind w:left="850"/>
      <w:spacing w:after="57"/>
    </w:pPr>
  </w:style>
  <w:style w:type="paragraph" w:styleId="942">
    <w:name w:val="toc 5"/>
    <w:basedOn w:val="728"/>
    <w:next w:val="728"/>
    <w:uiPriority w:val="39"/>
    <w:unhideWhenUsed/>
    <w:pPr>
      <w:ind w:left="1134"/>
      <w:spacing w:after="57"/>
    </w:pPr>
  </w:style>
  <w:style w:type="paragraph" w:styleId="943">
    <w:name w:val="toc 6"/>
    <w:basedOn w:val="728"/>
    <w:next w:val="728"/>
    <w:uiPriority w:val="39"/>
    <w:unhideWhenUsed/>
    <w:pPr>
      <w:ind w:left="1417"/>
      <w:spacing w:after="57"/>
    </w:pPr>
  </w:style>
  <w:style w:type="paragraph" w:styleId="944">
    <w:name w:val="toc 7"/>
    <w:basedOn w:val="728"/>
    <w:next w:val="728"/>
    <w:uiPriority w:val="39"/>
    <w:unhideWhenUsed/>
    <w:pPr>
      <w:ind w:left="1701"/>
      <w:spacing w:after="57"/>
    </w:pPr>
  </w:style>
  <w:style w:type="paragraph" w:styleId="945">
    <w:name w:val="toc 8"/>
    <w:basedOn w:val="728"/>
    <w:next w:val="728"/>
    <w:uiPriority w:val="39"/>
    <w:unhideWhenUsed/>
    <w:pPr>
      <w:ind w:left="1984"/>
      <w:spacing w:after="57"/>
    </w:pPr>
  </w:style>
  <w:style w:type="paragraph" w:styleId="946">
    <w:name w:val="toc 9"/>
    <w:basedOn w:val="728"/>
    <w:next w:val="728"/>
    <w:uiPriority w:val="39"/>
    <w:unhideWhenUsed/>
    <w:pPr>
      <w:ind w:left="2268"/>
      <w:spacing w:after="57"/>
    </w:pPr>
  </w:style>
  <w:style w:type="paragraph" w:styleId="947">
    <w:name w:val="TOC Heading"/>
    <w:uiPriority w:val="39"/>
    <w:unhideWhenUsed/>
  </w:style>
  <w:style w:type="paragraph" w:styleId="948">
    <w:name w:val="table of figures"/>
    <w:basedOn w:val="728"/>
    <w:next w:val="728"/>
    <w:uiPriority w:val="99"/>
    <w:unhideWhenUsed/>
  </w:style>
  <w:style w:type="paragraph" w:styleId="949" w:customStyle="1">
    <w:name w:val="ConsPlusNormal"/>
    <w:pPr>
      <w:widowControl w:val="off"/>
    </w:pPr>
    <w:rPr>
      <w:sz w:val="24"/>
    </w:rPr>
  </w:style>
  <w:style w:type="paragraph" w:styleId="950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1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952" w:customStyle="1">
    <w:name w:val="ConsPlusCell"/>
    <w:pPr>
      <w:widowControl w:val="off"/>
    </w:pPr>
    <w:rPr>
      <w:rFonts w:ascii="Courier New" w:hAnsi="Courier New" w:cs="Courier New"/>
    </w:rPr>
  </w:style>
  <w:style w:type="paragraph" w:styleId="953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954" w:customStyle="1">
    <w:name w:val="ConsPlusTitlePage"/>
    <w:pPr>
      <w:widowControl w:val="off"/>
    </w:pPr>
    <w:rPr>
      <w:rFonts w:ascii="Tahoma" w:hAnsi="Tahoma" w:cs="Tahoma"/>
    </w:rPr>
  </w:style>
  <w:style w:type="paragraph" w:styleId="955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956" w:customStyle="1">
    <w:name w:val="ConsPlusTextList"/>
    <w:pPr>
      <w:widowControl w:val="off"/>
    </w:pPr>
    <w:rPr>
      <w:sz w:val="24"/>
    </w:rPr>
  </w:style>
  <w:style w:type="paragraph" w:styleId="957" w:customStyle="1">
    <w:name w:val="ConsPlusTextList"/>
    <w:pPr>
      <w:widowControl w:val="off"/>
    </w:pPr>
    <w:rPr>
      <w:sz w:val="24"/>
    </w:rPr>
  </w:style>
  <w:style w:type="paragraph" w:styleId="958" w:customStyle="1">
    <w:name w:val="Верхний колонтитул2"/>
    <w:basedOn w:val="728"/>
    <w:link w:val="959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59" w:customStyle="1">
    <w:name w:val="Верхний колонтитул Знак"/>
    <w:basedOn w:val="729"/>
    <w:link w:val="958"/>
    <w:uiPriority w:val="99"/>
    <w:semiHidden/>
  </w:style>
  <w:style w:type="paragraph" w:styleId="960" w:customStyle="1">
    <w:name w:val="Нижний колонтитул2"/>
    <w:basedOn w:val="728"/>
    <w:link w:val="961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61" w:customStyle="1">
    <w:name w:val="Нижний колонтитул Знак"/>
    <w:basedOn w:val="729"/>
    <w:link w:val="960"/>
    <w:uiPriority w:val="99"/>
    <w:semiHidden/>
  </w:style>
  <w:style w:type="character" w:styleId="962" w:customStyle="1">
    <w:name w:val="Font Style29"/>
    <w:basedOn w:val="729"/>
    <w:qFormat/>
    <w:rPr>
      <w:rFonts w:ascii="Times New Roman" w:hAnsi="Times New Roman" w:cs="Times New Roman"/>
      <w:b/>
      <w:bCs/>
      <w:sz w:val="28"/>
      <w:szCs w:val="28"/>
    </w:rPr>
  </w:style>
  <w:style w:type="character" w:styleId="963" w:customStyle="1">
    <w:name w:val="Основной текст_"/>
    <w:basedOn w:val="729"/>
    <w:link w:val="964"/>
    <w:rPr>
      <w:spacing w:val="2"/>
      <w:sz w:val="21"/>
      <w:szCs w:val="21"/>
      <w:shd w:val="clear" w:color="auto" w:fill="ffffff"/>
    </w:rPr>
  </w:style>
  <w:style w:type="paragraph" w:styleId="964" w:customStyle="1">
    <w:name w:val="Основной текст3"/>
    <w:basedOn w:val="728"/>
    <w:link w:val="963"/>
    <w:pPr>
      <w:jc w:val="center"/>
      <w:spacing w:line="274" w:lineRule="exact"/>
      <w:shd w:val="clear" w:color="auto" w:fill="ffffff"/>
      <w:widowControl w:val="off"/>
    </w:pPr>
    <w:rPr>
      <w:spacing w:val="2"/>
      <w:sz w:val="21"/>
      <w:szCs w:val="21"/>
    </w:rPr>
  </w:style>
  <w:style w:type="character" w:styleId="965" w:customStyle="1">
    <w:name w:val="Заголовок 1 Знак"/>
    <w:basedOn w:val="729"/>
    <w:link w:val="770"/>
    <w:uiPriority w:val="9"/>
    <w:rPr>
      <w:rFonts w:ascii="Arial" w:hAnsi="Arial" w:eastAsia="Arial" w:cs="Arial"/>
      <w:sz w:val="40"/>
      <w:szCs w:val="40"/>
      <w:lang w:eastAsia="en-US"/>
    </w:rPr>
  </w:style>
  <w:style w:type="table" w:styleId="966" w:customStyle="1">
    <w:name w:val="Сетка таблицы3"/>
    <w:basedOn w:val="730"/>
    <w:next w:val="805"/>
    <w:rPr>
      <w:rFonts w:ascii="PT Astra Serif" w:hAnsi="PT Astra Serif" w:eastAsia="Calibri"/>
      <w:sz w:val="26"/>
      <w:szCs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7">
    <w:name w:val="Balloon Text"/>
    <w:basedOn w:val="728"/>
    <w:link w:val="968"/>
    <w:uiPriority w:val="99"/>
    <w:semiHidden/>
    <w:unhideWhenUsed/>
    <w:rPr>
      <w:rFonts w:ascii="Tahoma" w:hAnsi="Tahoma" w:cs="Tahoma"/>
      <w:sz w:val="16"/>
      <w:szCs w:val="16"/>
    </w:rPr>
  </w:style>
  <w:style w:type="character" w:styleId="968" w:customStyle="1">
    <w:name w:val="Текст выноски Знак"/>
    <w:basedOn w:val="729"/>
    <w:link w:val="967"/>
    <w:uiPriority w:val="99"/>
    <w:semiHidden/>
    <w:rPr>
      <w:rFonts w:ascii="Tahoma" w:hAnsi="Tahoma" w:cs="Tahoma"/>
      <w:sz w:val="16"/>
      <w:szCs w:val="16"/>
    </w:rPr>
  </w:style>
  <w:style w:type="table" w:styleId="969" w:customStyle="1">
    <w:name w:val="Сетка таблицы4"/>
    <w:basedOn w:val="730"/>
    <w:next w:val="805"/>
    <w:rPr>
      <w:rFonts w:ascii="PT Astra Serif" w:hAnsi="PT Astra Serif" w:eastAsia="Calibri"/>
      <w:sz w:val="26"/>
      <w:szCs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0" w:customStyle="1">
    <w:name w:val="Сетка таблицы5"/>
    <w:basedOn w:val="730"/>
    <w:next w:val="805"/>
    <w:rPr>
      <w:rFonts w:ascii="PT Astra Serif" w:hAnsi="PT Astra Serif" w:eastAsia="Calibri"/>
      <w:sz w:val="26"/>
      <w:szCs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1" w:customStyle="1">
    <w:name w:val="Font Style18"/>
    <w:rPr>
      <w:rFonts w:ascii="Times New Roman" w:hAnsi="Times New Roman" w:cs="Times New Roman"/>
      <w:sz w:val="22"/>
      <w:szCs w:val="22"/>
    </w:rPr>
  </w:style>
  <w:style w:type="character" w:styleId="972" w:customStyle="1">
    <w:name w:val="Гиперссылка1"/>
    <w:link w:val="839"/>
    <w:uiPriority w:val="99"/>
    <w:unhideWhenUsed/>
    <w:rPr>
      <w:color w:val="0563c1"/>
      <w:u w:val="single"/>
    </w:rPr>
  </w:style>
  <w:style w:type="paragraph" w:styleId="973" w:customStyle="1">
    <w:name w:val="Основной текст1"/>
    <w:link w:val="923"/>
    <w:uiPriority w:val="99"/>
    <w:pPr>
      <w:spacing w:line="240" w:lineRule="atLeast"/>
      <w:shd w:val="clear" w:color="auto" w:fill="ffff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eastAsiaTheme="minorEastAsia"/>
      <w:sz w:val="22"/>
      <w:szCs w:val="22"/>
    </w:rPr>
  </w:style>
  <w:style w:type="paragraph" w:styleId="974" w:customStyle="1">
    <w:name w:val="Основной текст с отступом 21"/>
    <w:pPr>
      <w:ind w:firstLine="1080"/>
      <w:jc w:val="both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8"/>
      <w:szCs w:val="24"/>
      <w:lang w:eastAsia="ar-SA"/>
    </w:rPr>
  </w:style>
  <w:style w:type="paragraph" w:styleId="975" w:customStyle="1">
    <w:name w:val="Верхний колонтитул3"/>
    <w:basedOn w:val="728"/>
    <w:link w:val="976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76" w:customStyle="1">
    <w:name w:val="Верхний колонтитул Знак1"/>
    <w:basedOn w:val="729"/>
    <w:link w:val="975"/>
    <w:uiPriority w:val="99"/>
    <w:semiHidden/>
  </w:style>
  <w:style w:type="paragraph" w:styleId="977" w:customStyle="1">
    <w:name w:val="Нижний колонтитул3"/>
    <w:basedOn w:val="728"/>
    <w:link w:val="978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78" w:customStyle="1">
    <w:name w:val="Нижний колонтитул Знак1"/>
    <w:basedOn w:val="729"/>
    <w:link w:val="977"/>
    <w:uiPriority w:val="99"/>
    <w:semiHidden/>
  </w:style>
  <w:style w:type="character" w:styleId="979" w:customStyle="1">
    <w:name w:val="Заголовок 1 Знак1"/>
    <w:basedOn w:val="729"/>
    <w:link w:val="76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80">
    <w:name w:val="Normal (Web)"/>
    <w:basedOn w:val="728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981" w:customStyle="1">
    <w:name w:val="Font Style17"/>
    <w:rPr>
      <w:rFonts w:ascii="Times New Roman" w:hAnsi="Times New Roman" w:cs="Times New Roman"/>
      <w:sz w:val="24"/>
      <w:szCs w:val="24"/>
    </w:rPr>
  </w:style>
  <w:style w:type="paragraph" w:styleId="982" w:customStyle="1">
    <w:name w:val="Основной текст2"/>
    <w:link w:val="914"/>
    <w:uiPriority w:val="99"/>
    <w:pPr>
      <w:spacing w:line="240" w:lineRule="atLeast"/>
      <w:shd w:val="clear" w:color="auto" w:fill="ffff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eastAsiaTheme="minorEastAsia"/>
      <w:sz w:val="22"/>
      <w:szCs w:val="22"/>
    </w:rPr>
  </w:style>
  <w:style w:type="character" w:styleId="983" w:customStyle="1">
    <w:name w:val="Гиперссылка2"/>
    <w:link w:val="767"/>
    <w:uiPriority w:val="99"/>
    <w:unhideWhenUsed/>
    <w:rPr>
      <w:color w:val="0563c1"/>
      <w:u w:val="single"/>
    </w:rPr>
  </w:style>
  <w:style w:type="paragraph" w:styleId="984">
    <w:name w:val="Body Text"/>
    <w:basedOn w:val="728"/>
    <w:next w:val="728"/>
    <w:link w:val="985"/>
    <w:pPr>
      <w:ind w:firstLine="709"/>
      <w:jc w:val="both"/>
    </w:pPr>
    <w:rPr>
      <w:sz w:val="22"/>
      <w:szCs w:val="24"/>
    </w:rPr>
  </w:style>
  <w:style w:type="character" w:styleId="985" w:customStyle="1">
    <w:name w:val="Основной текст Знак"/>
    <w:basedOn w:val="729"/>
    <w:link w:val="984"/>
    <w:rPr>
      <w:sz w:val="22"/>
      <w:szCs w:val="24"/>
    </w:rPr>
  </w:style>
  <w:style w:type="character" w:styleId="986" w:customStyle="1">
    <w:name w:val="Без интервала Знак"/>
    <w:basedOn w:val="729"/>
    <w:link w:val="790"/>
    <w:uiPriority w:val="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hart" Target="charts/chart1.xml" /><Relationship Id="rId13" Type="http://schemas.openxmlformats.org/officeDocument/2006/relationships/chart" Target="charts/chart2.xml" /><Relationship Id="rId14" Type="http://schemas.openxmlformats.org/officeDocument/2006/relationships/chart" Target="charts/chart3.xml" /><Relationship Id="rId15" Type="http://schemas.openxmlformats.org/officeDocument/2006/relationships/chart" Target="charts/chart4.xml" /><Relationship Id="rId16" Type="http://schemas.openxmlformats.org/officeDocument/2006/relationships/chart" Target="charts/chart5.xml" /><Relationship Id="rId17" Type="http://schemas.openxmlformats.org/officeDocument/2006/relationships/hyperlink" Target="http://depzhkh.tomsk.gov.ru/" TargetMode="External"/><Relationship Id="rId18" Type="http://schemas.openxmlformats.org/officeDocument/2006/relationships/hyperlink" Target="http://depzdrav.tomsk.gov.ru/" TargetMode="External"/><Relationship Id="rId19" Type="http://schemas.openxmlformats.org/officeDocument/2006/relationships/hyperlink" Target="http://dor.tomsk.gov.ru/" TargetMode="External"/><Relationship Id="rId20" Type="http://schemas.openxmlformats.org/officeDocument/2006/relationships/chart" Target="charts/chart6.xml" /><Relationship Id="rId21" Type="http://schemas.openxmlformats.org/officeDocument/2006/relationships/chart" Target="charts/chart7.xml" /><Relationship Id="rId22" Type="http://schemas.openxmlformats.org/officeDocument/2006/relationships/chart" Target="charts/chart8.xml" /><Relationship Id="rId23" Type="http://schemas.openxmlformats.org/officeDocument/2006/relationships/chart" Target="charts/chart9.xml" /><Relationship Id="rId24" Type="http://schemas.openxmlformats.org/officeDocument/2006/relationships/chart" Target="charts/chart10.xml" /><Relationship Id="rId25" Type="http://schemas.openxmlformats.org/officeDocument/2006/relationships/chart" Target="charts/chart11.xml" /><Relationship Id="rId26" Type="http://schemas.openxmlformats.org/officeDocument/2006/relationships/hyperlink" Target="file:///C:\Users\&#1071;\AppData\Local\Temp\b096b44b-07bd-44a2-9c07-76f3d1f73548_Attachments_stepanovayus@tomsk.gov.ru_2026-02-15_21-23-07.zip.548\www.tomsk.gov.ru" TargetMode="External"/><Relationship Id="rId27" Type="http://schemas.openxmlformats.org/officeDocument/2006/relationships/chart" Target="charts/chart12.xml" /><Relationship Id="rId28" Type="http://schemas.openxmlformats.org/officeDocument/2006/relationships/hyperlink" Target="file:///C:\Users\&#1071;\AppData\Local\Temp\b096b44b-07bd-44a2-9c07-76f3d1f73548_Attachments_stepanovayus@tomsk.gov.ru_2026-02-15_21-23-07.zip.548\www.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_rels/chart2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2.xlsx" /></Relationships>
</file>

<file path=word/charts/_rels/chart3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3.xlsx" /></Relationships>
</file>

<file path=word/charts/_rels/chart4.xml.rels><?xml version="1.0" encoding="UTF-8" standalone="yes"?><Relationships xmlns="http://schemas.openxmlformats.org/package/2006/relationships"><Relationship Id="rId1" Type="http://schemas.openxmlformats.org/officeDocument/2006/relationships/themeOverride" Target="../theme/themeOverride1.xml" /><Relationship Id="rId2" Type="http://schemas.openxmlformats.org/officeDocument/2006/relationships/package" Target="../embeddings/Microsoft_Excel_Worksheet4.xlsx" /></Relationships>
</file>

<file path=word/charts/_rels/chart5.xml.rels><?xml version="1.0" encoding="UTF-8" standalone="yes"?><Relationships xmlns="http://schemas.openxmlformats.org/package/2006/relationships"><Relationship Id="rId1" Type="http://schemas.openxmlformats.org/officeDocument/2006/relationships/themeOverride" Target="../theme/themeOverride1.xml" /><Relationship Id="rId2" Type="http://schemas.openxmlformats.org/officeDocument/2006/relationships/package" Target="../embeddings/Microsoft_Excel_Worksheet5.xlsx" /></Relationships>
</file>

<file path=word/charts/_rels/chart6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6.xlsx" /></Relationships>
</file>

<file path=word/charts/_rels/chart7.xml.rels><?xml version="1.0" encoding="UTF-8" standalone="yes"?><Relationships xmlns="http://schemas.openxmlformats.org/package/2006/relationships"><Relationship Id="rId1" Type="http://schemas.openxmlformats.org/officeDocument/2006/relationships/themeOverride" Target="../theme/themeOverride1.xml" /><Relationship Id="rId2" Type="http://schemas.openxmlformats.org/officeDocument/2006/relationships/package" Target="../embeddings/Microsoft_Excel_Worksheet7.xlsx" /></Relationships>
</file>

<file path=word/charts/_rels/chart8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8.xlsx" /></Relationships>
</file>

<file path=word/charts/_rels/chart9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9.xlsx" /></Relationships>
</file>

<file path=word/charts/_rels/chart10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0.xlsx" /></Relationships>
</file>

<file path=word/charts/_rels/chart1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1.xlsx" /></Relationships>
</file>

<file path=word/charts/_rels/chart12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2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PT Astra Serif"/>
                <a:ea typeface="PT Astra Serif"/>
              </a:defRPr>
            </a:pPr>
            <a:r>
              <a:rPr lang="ru-RU" sz="1200">
                <a:latin typeface="PT Astra Serif"/>
                <a:ea typeface="PT Astra Serif"/>
              </a:rPr>
              <a:t>Проверки достоверности и полноты сведений </a:t>
            </a:r>
            <a:br>
              <a:rPr lang="ru-RU" sz="1200">
                <a:latin typeface="PT Astra Serif"/>
                <a:ea typeface="PT Astra Serif"/>
              </a:rPr>
            </a:br>
            <a:r>
              <a:rPr lang="ru-RU" sz="1200">
                <a:latin typeface="PT Astra Serif"/>
                <a:ea typeface="PT Astra Serif"/>
              </a:rPr>
              <a:t>о доходах в органах государственной власти </a:t>
            </a:r>
            <a:br>
              <a:rPr lang="ru-RU" sz="1200">
                <a:latin typeface="PT Astra Serif"/>
                <a:ea typeface="PT Astra Serif"/>
              </a:rPr>
            </a:br>
            <a:r>
              <a:rPr lang="ru-RU" sz="1200">
                <a:latin typeface="PT Astra Serif"/>
                <a:ea typeface="PT Astra Serif"/>
              </a:rPr>
              <a:t>Томской области</a:t>
            </a:r>
            <a:endParaRPr lang="ru-RU" sz="1600"/>
          </a:p>
        </c:rich>
      </c:tx>
      <c:layout>
        <c:manualLayout>
          <c:xMode val="edge"/>
          <c:yMode val="edge"/>
          <c:x val="0.199572"/>
          <c:y val="0.001636"/>
        </c:manualLayout>
      </c:layout>
      <c:overlay val="0"/>
    </c:title>
    <c:autoTitleDeleted val="0"/>
    <c:view3D>
      <c:rotX val="30"/>
      <c:rotY val="8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25620"/>
          <c:y val="0.312270"/>
          <c:w val="0.452430"/>
          <c:h val="0.45308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государственной власти Томской области</c:v>
                </c:pt>
              </c:strCache>
            </c:strRef>
          </c:tx>
          <c:explosion val="7"/>
          <c:dLbls>
            <c:dLbl>
              <c:idx val="0"/>
              <c:layout>
                <c:manualLayout>
                  <c:x val="0.015270"/>
                  <c:y val="-0.0038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0.035630"/>
                  <c:y val="0.0550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-0.002390"/>
                  <c:y val="0.05584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-0.006330"/>
                  <c:y val="0.0590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-0.000200"/>
                  <c:y val="0.059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-0.000740"/>
                  <c:y val="0.066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-0.000340"/>
                  <c:y val="-0.0076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03202"/>
                  <c:y val="-0.029671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6840"/>
                  <c:y val="-0.021447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1"/>
              <c:layout>
                <c:manualLayout>
                  <c:x val="-0.001810"/>
                  <c:y val="0.0003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2"/>
              <c:layout>
                <c:manualLayout>
                  <c:x val="0.000580"/>
                  <c:y val="-0.0157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3"/>
              <c:layout>
                <c:manualLayout>
                  <c:x val="-0.003780"/>
                  <c:y val="-0.02164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4"/>
              <c:layout>
                <c:manualLayout>
                  <c:x val="0.000360"/>
                  <c:y val="-0.0187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5"/>
              <c:layout>
                <c:manualLayout>
                  <c:x val="-0.004560"/>
                  <c:y val="-0.0179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6"/>
              <c:layout>
                <c:manualLayout>
                  <c:x val="-0.002310"/>
                  <c:y val="0.000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</c:dLbls>
          <c:cat>
            <c:strRef>
              <c:f>Лист1!$A$2:$A$10</c:f>
              <c:strCache>
                <c:ptCount val="9"/>
                <c:pt idx="0">
                  <c:v xml:space="preserve">Департамент по профилактике коррупционных и иных правонарушений Администрации Томской области</c:v>
                </c:pt>
                <c:pt idx="1">
                  <c:v xml:space="preserve">Департамент градостроительного развития Томской области</c:v>
                </c:pt>
                <c:pt idx="2">
                  <c:v xml:space="preserve">Департамент инвестиционной и промышленной политики Томской области</c:v>
                </c:pt>
                <c:pt idx="3">
                  <c:v xml:space="preserve">Департамент образования Томской области</c:v>
                </c:pt>
                <c:pt idx="4">
                  <c:v xml:space="preserve">Департамент лесного хозяйства Томской области</c:v>
                </c:pt>
                <c:pt idx="5">
                  <c:v xml:space="preserve">Департамент природных ресурсов и охраны окружающей среды Томской области</c:v>
                </c:pt>
                <c:pt idx="6">
                  <c:v xml:space="preserve">Департамент транспорта, дорожной деятельности и связи Томской области</c:v>
                </c:pt>
                <c:pt idx="7">
                  <c:v xml:space="preserve">Инспекция государственного технического надзора Томской области</c:v>
                </c:pt>
                <c:pt idx="8">
                  <c:v xml:space="preserve">Законодательная Дума Томской области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11</c:v>
                </c:pt>
                <c:pt idx="1">
                  <c:v>6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1</c:v>
                </c:pt>
                <c:pt idx="6">
                  <c:v>6</c:v>
                </c:pt>
                <c:pt idx="7">
                  <c:v>2</c:v>
                </c:pt>
                <c:pt idx="8">
                  <c:v>3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egendEntry>
        <c:idx val="1"/>
        <c:txPr>
          <a:bodyPr/>
          <a:lstStyle/>
          <a:p>
            <a:pPr>
              <a:defRPr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/>
            </a:pPr>
            <a:endParaRPr lang="ru-RU"/>
          </a:p>
        </c:txPr>
      </c:legendEntry>
      <c:legendEntry>
        <c:idx val="4"/>
        <c:txPr>
          <a:bodyPr/>
          <a:lstStyle/>
          <a:p>
            <a:pPr>
              <a:defRPr/>
            </a:pPr>
            <a:endParaRPr lang="ru-RU"/>
          </a:p>
        </c:txPr>
      </c:legendEntry>
      <c:layout>
        <c:manualLayout>
          <c:xMode val="edge"/>
          <c:yMode val="edge"/>
          <c:x val="0.491530"/>
          <c:y val="0.150945"/>
          <c:w val="0.506490"/>
          <c:h val="0.837620"/>
        </c:manualLayout>
      </c:layout>
      <c:overlay val="0"/>
      <c:txPr>
        <a:bodyPr/>
        <a:lstStyle/>
        <a:p>
          <a:pPr>
            <a:defRPr/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Проверки достоверности и полноты сведений о доходах</a:t>
            </a:r>
            <a:endParaRPr lang="ru-RU"/>
          </a:p>
          <a:p>
            <a:pPr>
              <a:defRPr sz="1200"/>
            </a:pPr>
            <a:r>
              <a:rPr lang="ru-RU"/>
              <a:t>в органах</a:t>
            </a:r>
            <a:r>
              <a:rPr lang="ru-RU" sz="1200"/>
              <a:t> местного самоуправления Томской области</a:t>
            </a:r>
            <a:br>
              <a:rPr lang="ru-RU" sz="1200"/>
            </a:b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09890"/>
          <c:y val="0.247520"/>
          <c:w val="0.545530"/>
          <c:h val="0.70223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 в органах местного самоуправления Томской области
</c:v>
                </c:pt>
              </c:strCache>
            </c:strRef>
          </c:tx>
          <c:explosion val="25"/>
          <c:dPt>
            <c:idx val="5"/>
            <c:bubble3D val="0"/>
            <c:spPr bwMode="auto">
              <a:prstGeom prst="rect">
                <a:avLst/>
              </a:prstGeom>
              <a:solidFill>
                <a:schemeClr val="accent6"/>
              </a:solidFill>
            </c:spPr>
          </c:dPt>
          <c:dLbls>
            <c:dLbl>
              <c:idx val="0"/>
              <c:layout>
                <c:manualLayout>
                  <c:x val="-0.003772"/>
                  <c:y val="-0.04285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0.016155"/>
                  <c:y val="-0.05715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17630"/>
                  <c:y val="-0.06252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16845"/>
                  <c:y val="0.02521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81550"/>
                  <c:y val="0.0932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41788"/>
                  <c:y val="-0.164053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</c:dLbls>
          <c:cat>
            <c:strRef>
              <c:f>Лист1!$A$2:$A$7</c:f>
              <c:strCache>
                <c:ptCount val="6"/>
                <c:pt idx="0">
                  <c:v xml:space="preserve">Парабельский муниципальный район Томской области</c:v>
                </c:pt>
                <c:pt idx="1">
                  <c:v xml:space="preserve">Городской округ Стрежевой Томской области</c:v>
                </c:pt>
                <c:pt idx="2">
                  <c:v xml:space="preserve">Колпашевский муниципальный район Томской области</c:v>
                </c:pt>
                <c:pt idx="3">
                  <c:v xml:space="preserve">Шегарский муниципальный район Томской области</c:v>
                </c:pt>
                <c:pt idx="4">
                  <c:v xml:space="preserve">Городской округ ЗАТО Северск Томской области</c:v>
                </c:pt>
                <c:pt idx="5">
                  <c:v xml:space="preserve">Город Томск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13</c:v>
                </c:pt>
                <c:pt idx="4">
                  <c:v>34</c:v>
                </c:pt>
                <c:pt idx="5">
                  <c:v>51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676500"/>
          <c:y val="0.188030"/>
          <c:w val="0.381940"/>
          <c:h val="0.797260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/>
                <a:ea typeface="PT Astra Serif"/>
              </a:defRPr>
            </a:pPr>
            <a:r>
              <a:rPr lang="ru-RU" sz="1050">
                <a:latin typeface="PT Astra Serif"/>
                <a:ea typeface="PT Astra Serif"/>
              </a:rPr>
              <a:t>Лица, к которым применены меры ответственности </a:t>
            </a:r>
            <a:br>
              <a:rPr lang="ru-RU" sz="1050">
                <a:latin typeface="PT Astra Serif"/>
                <a:ea typeface="PT Astra Serif"/>
              </a:rPr>
            </a:br>
            <a:r>
              <a:rPr lang="ru-RU" sz="1050">
                <a:latin typeface="PT Astra Serif"/>
                <a:ea typeface="PT Astra Serif"/>
              </a:rPr>
              <a:t>за коррупционные правонарушения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88450"/>
          <c:y val="0.374170"/>
          <c:w val="0.355720"/>
          <c:h val="0.4883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0.008986"/>
                  <c:y val="-0.05965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8100"/>
                  <c:y val="0.1098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-0.018954"/>
                  <c:y val="-0.031923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3851"/>
                  <c:y val="-0.07250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07210"/>
                  <c:y val="-0.0078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Лист1!$A$2:$A$5</c:f>
              <c:strCache>
                <c:ptCount val="4"/>
                <c:pt idx="0">
                  <c:v xml:space="preserve">Государственные гражданские служащие Томской области</c:v>
                </c:pt>
                <c:pt idx="1">
                  <c:v xml:space="preserve">Муниципальные служащие Томской области</c:v>
                </c:pt>
                <c:pt idx="2">
                  <c:v xml:space="preserve">Лица, замещающие муниципальные должности</c:v>
                </c:pt>
                <c:pt idx="3">
                  <c:v xml:space="preserve">Лица, замещающие государственные должности Томской области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</c:v>
                </c:pt>
                <c:pt idx="1">
                  <c:v>50</c:v>
                </c:pt>
                <c:pt idx="2">
                  <c:v>2</c:v>
                </c:pt>
                <c:pt idx="3">
                  <c:v>1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26970"/>
          <c:y val="0.300008"/>
          <c:w val="0.572260"/>
          <c:h val="0.50761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/>
                <a:ea typeface="PT Astra Serif"/>
              </a:defRPr>
            </a:pPr>
            <a:r>
              <a:rPr lang="ru-RU" sz="1050">
                <a:latin typeface="PT Astra Serif"/>
                <a:ea typeface="PT Astra Serif"/>
              </a:rPr>
              <a:t>Проверки соблюдения ограничений и запретов, требований </a:t>
            </a:r>
            <a:br>
              <a:rPr lang="ru-RU" sz="1050">
                <a:latin typeface="PT Astra Serif"/>
                <a:ea typeface="PT Astra Serif"/>
              </a:rPr>
            </a:br>
            <a:r>
              <a:rPr lang="ru-RU" sz="1050">
                <a:latin typeface="PT Astra Serif"/>
                <a:ea typeface="PT Astra Serif"/>
              </a:rPr>
              <a:t>о предотвращении или урегулировании конфликта интересов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9890"/>
          <c:y val="0.340040"/>
          <c:w val="0.355720"/>
          <c:h val="0.4883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18"/>
          </c:dPt>
          <c:dLbls>
            <c:dLbl>
              <c:idx val="0"/>
              <c:layout>
                <c:manualLayout>
                  <c:x val="0.011150"/>
                  <c:y val="-0.0003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20560"/>
                  <c:y val="0.0892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2360"/>
                  <c:y val="0.0027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9440"/>
                  <c:y val="-0.0058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07210"/>
                  <c:y val="-0.0078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Органы государственной власти Томской области</c:v>
                </c:pt>
                <c:pt idx="1">
                  <c:v xml:space="preserve"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23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609840"/>
          <c:y val="0.371590"/>
          <c:w val="0.291130"/>
          <c:h val="0.30770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/>
                <a:ea typeface="PT Astra Serif"/>
              </a:defRPr>
            </a:pPr>
            <a:r>
              <a:rPr lang="ru-RU" sz="1050">
                <a:latin typeface="PT Astra Serif"/>
                <a:ea typeface="PT Astra Serif"/>
              </a:rPr>
              <a:t>Количество служащих, к которым применены меры ответственности по результатам проверок 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88450"/>
          <c:y val="0.374170"/>
          <c:w val="0.355720"/>
          <c:h val="0.4883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explosion val="33"/>
          </c:dPt>
          <c:dLbls>
            <c:dLbl>
              <c:idx val="0"/>
              <c:layout>
                <c:manualLayout>
                  <c:x val="0.003486"/>
                  <c:y val="-0.0561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08740"/>
                  <c:y val="0.0874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2360"/>
                  <c:y val="0.0027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9440"/>
                  <c:y val="-0.0058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07210"/>
                  <c:y val="-0.0078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Органы государственной власти Томской области</c:v>
                </c:pt>
                <c:pt idx="1">
                  <c:v xml:space="preserve">Органы местного самоуправления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</c:v>
                </c:pt>
                <c:pt idx="1">
                  <c:v>4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23640"/>
          <c:y val="0.330390"/>
          <c:w val="0.572260"/>
          <c:h val="0.50761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Заседания комиссий по соблюдению требований к служебному поведению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и урегулированию конфликта интересов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в органах государственной власти Томской области</a:t>
            </a:r>
            <a:endParaRPr lang="ru-RU"/>
          </a:p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900" b="0">
                <a:latin typeface="PT Astra Serif"/>
                <a:ea typeface="PT Astra Serif"/>
              </a:rPr>
              <a:t>Всего в 2025 году - 124 заседания </a:t>
            </a:r>
            <a:endParaRPr lang="ru-RU"/>
          </a:p>
        </c:rich>
      </c:tx>
      <c:layout>
        <c:manualLayout>
          <c:xMode val="edge"/>
          <c:yMode val="edge"/>
          <c:x val="0.172180"/>
          <c:y val="0.00576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01030"/>
          <c:y val="0.397770"/>
          <c:w val="0.417290"/>
          <c:h val="0.47542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0"/>
          <c:dLbls>
            <c:dLbl>
              <c:idx val="0"/>
              <c:layout>
                <c:manualLayout>
                  <c:x val="-0.028146"/>
                  <c:y val="-0.05311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4594"/>
                  <c:y val="-0.066316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2621"/>
                  <c:y val="-0.05878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24142"/>
                  <c:y val="-0.04085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-0.033850"/>
                  <c:y val="0.0801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-0.017455"/>
                  <c:y val="-0.05882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-0.014344"/>
                  <c:y val="-0.042797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Лист1!$A$2:$A$8</c:f>
              <c:strCache>
                <c:ptCount val="7"/>
                <c:pt idx="0">
                  <c:v xml:space="preserve">Представление недостоверных или неполных сведений о доходах</c:v>
                </c:pt>
                <c:pt idx="1">
                  <c:v xml:space="preserve">Заявления служащих о невозможности по объективным причинам представить сведения о доходах</c:v>
                </c:pt>
                <c:pt idx="2">
                  <c:v xml:space="preserve">Заявления о невозможности выполнить требования 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соответствующих случаях</c:v>
                </c:pt>
                <c:pt idx="3">
                  <c:v xml:space="preserve">Несоблюдение ограничений и запретов, требований об урегулировании конфликта интересов</c:v>
                </c:pt>
                <c:pt idx="4">
                  <c:v xml:space="preserve">Вопросы профилактики коррупционных правонарушений</c:v>
                </c:pt>
                <c:pt idx="5">
                  <c:v xml:space="preserve">Уведомления служащих о возникновении (возможном возникновении) у них конфликта интересов
</c:v>
                </c:pt>
                <c:pt idx="6">
                  <c:v xml:space="preserve">Заявления служащих или бывших служащих о даче согласия на замещение должностей в коммерческих или некоммерческих организациях
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3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102</c:v>
                </c:pt>
                <c:pt idx="5">
                  <c:v>8</c:v>
                </c:pt>
                <c:pt idx="6">
                  <c:v>6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26750"/>
          <c:y val="0.128240"/>
          <c:w val="0.572260"/>
          <c:h val="0.87176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ru-RU" sz="900"/>
              <a:t>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</a:t>
            </a:r>
            <a:br>
              <a:rPr lang="ru-RU" sz="900"/>
            </a:br>
            <a:endParaRPr lang="ru-RU" sz="900"/>
          </a:p>
          <a:p>
            <a:pPr>
              <a:defRPr sz="900"/>
            </a:pPr>
            <a:r>
              <a:rPr lang="ru-RU" sz="900"/>
              <a:t>                                           Всего в 2025 году - 481 заседание </a:t>
            </a:r>
            <a:endParaRPr lang="ru-RU"/>
          </a:p>
        </c:rich>
      </c:tx>
      <c:layout/>
      <c:overlay val="0"/>
    </c:title>
    <c:autoTitleDeleted val="0"/>
    <c:view3D>
      <c:rotX val="30"/>
      <c:rotY val="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00000"/>
          <c:y val="0.334640"/>
          <c:w val="0.419110"/>
          <c:h val="0.57020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Заседания комиссий по соблюдению требований к служебному поведению и урегулированию конфликта интересов в органах местного самоуправления Томской области 
                                           Всего в 2025 году - 481 заседание 
</c:v>
                </c:pt>
              </c:strCache>
            </c:strRef>
          </c:tx>
          <c:explosion val="25"/>
          <c:dPt>
            <c:idx val="4"/>
            <c:bubble3D val="0"/>
            <c:explosion val="19"/>
          </c:dPt>
          <c:dLbls>
            <c:dLbl>
              <c:idx val="0"/>
              <c:dLblPos val="bestFit"/>
              <c:layout>
                <c:manualLayout>
                  <c:x val="-0.004630"/>
                  <c:y val="-0.05680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dLblPos val="bestFit"/>
              <c:layout>
                <c:manualLayout>
                  <c:x val="-0.001546"/>
                  <c:y val="-0.10946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dLblPos val="bestFit"/>
              <c:layout>
                <c:manualLayout>
                  <c:x val="0.006180"/>
                  <c:y val="-0.0048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dLblPos val="bestFit"/>
              <c:layout>
                <c:manualLayout>
                  <c:x val="0.002060"/>
                  <c:y val="0.04376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dLblPos val="bestFit"/>
              <c:layout>
                <c:manualLayout>
                  <c:x val="-0.001020"/>
                  <c:y val="0.1164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Pos val="outEnd"/>
            <c:showBubbleSize val="0"/>
            <c:showCatName val="0"/>
            <c:showLeaderLines val="1"/>
            <c:showLegendKey val="0"/>
            <c:showPercent val="0"/>
            <c:showSerName val="0"/>
            <c:showVal val="1"/>
          </c:dLbls>
          <c:cat>
            <c:strRef>
              <c:f>Лист1!$A$2:$A$6</c:f>
              <c:strCache>
                <c:ptCount val="5"/>
                <c:pt idx="0">
                  <c:v xml:space="preserve">Представление недостоверных или неполных сведений о доходах</c:v>
                </c:pt>
                <c:pt idx="1">
                  <c:v xml:space="preserve">Заявления бывших служащих о даче согласия на замещение должности 
в коммерческой или некоммерческой организации 
</c:v>
                </c:pt>
                <c:pt idx="2">
                  <c:v xml:space="preserve">Заявления служащих о невозможности по объективным причинам представить сведения о доходах</c:v>
                </c:pt>
                <c:pt idx="3">
                  <c:v xml:space="preserve">Несоблюдение требований к служебному поведению и (или) требований об урегулировании конфликта интересов</c:v>
                </c:pt>
                <c:pt idx="4">
                  <c:v xml:space="preserve"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75</c:v>
                </c:pt>
                <c:pt idx="1">
                  <c:v>33</c:v>
                </c:pt>
                <c:pt idx="2">
                  <c:v>2</c:v>
                </c:pt>
                <c:pt idx="3">
                  <c:v>57</c:v>
                </c:pt>
                <c:pt idx="4">
                  <c:v>314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54940"/>
          <c:y val="0.282290"/>
          <c:w val="0.543660"/>
          <c:h val="0.663040"/>
        </c:manualLayout>
      </c:layout>
      <c:overlay val="0"/>
      <c:txPr>
        <a:bodyPr/>
        <a:lstStyle/>
        <a:p>
          <a:pPr>
            <a:defRPr sz="800"/>
          </a:pPr>
          <a:endParaRPr lang="ru-RU"/>
        </a:p>
      </c:txPr>
    </c:legend>
    <c:plotVisOnly val="1"/>
    <c:dispBlanksAs val="zero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9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53046"/>
          <c:y val="0.298776"/>
          <c:w val="0.384111"/>
          <c:h val="0.52569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explosion val="2"/>
          </c:dPt>
          <c:dPt>
            <c:idx val="1"/>
            <c:bubble3D val="0"/>
            <c:explosion val="28"/>
          </c:dPt>
          <c:dPt>
            <c:idx val="2"/>
            <c:bubble3D val="0"/>
            <c:explosion val="3"/>
          </c:dPt>
          <c:dLbls>
            <c:dLbl>
              <c:idx val="0"/>
              <c:layout>
                <c:manualLayout>
                  <c:x val="-0.003139"/>
                  <c:y val="-0.0614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04070"/>
                  <c:y val="0.09343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9457"/>
                  <c:y val="-0.01505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7"/>
                  <c:y val="-0.080619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6"/>
                  <c:y val="-0.034584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1"/>
                  <c:y val="-0.002406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9"/>
                  <c:y val="0.01279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6"/>
                  <c:y val="0.010123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1"/>
                  <c:y val="0.012218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Количество проверенных организаций</c:v>
                </c:pt>
                <c:pt idx="1">
                  <c:v xml:space="preserve">Меры реагирования по результатам проверок:
- привлечено лиц к дисциплинарной ответственности 
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11</c:v>
                </c:pt>
                <c:pt idx="1">
                  <c:v>40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460388"/>
          <c:y val="0.257262"/>
          <c:w val="0.479005"/>
          <c:h val="0.482217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Плановая антикоррупционная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и правовая экспертиза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нормативных правовых актов Томской области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080"/>
          <c:y val="0.30721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0.001890"/>
                  <c:y val="-0.05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0.006390"/>
                  <c:y val="-0.07187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4730"/>
                  <c:y val="-0.08805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0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Количество актов, прошедших экспертизу</c:v>
                </c:pt>
                <c:pt idx="1">
                  <c:v xml:space="preserve">Количество актов, в которых выявлены коррупциогенные факторы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</c:v>
                </c:pt>
                <c:pt idx="1">
                  <c:v>60</c:v>
                </c:pt>
              </c:numCache>
            </c:numRef>
          </c:val>
        </c:ser>
        <c:dLbls>
          <c:showBubbleSize val="0"/>
          <c:showCatName val="0"/>
          <c:showLeaderLines val="0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566790"/>
          <c:y val="0.359190"/>
          <c:w val="0.406870"/>
          <c:h val="0.47080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Оценка эффективности деятельности в сфере противодействия коррупции исполнительных органов Томской области, не имеющих подведомственных предприятий, учреждений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8160"/>
          <c:y val="0.36880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13"/>
          <c:dPt>
            <c:idx val="0"/>
            <c:bubble3D val="0"/>
            <c:spPr bwMode="auto">
              <a:prstGeom prst="rect">
                <a:avLst/>
              </a:prstGeom>
              <a:solidFill>
                <a:schemeClr val="accent3"/>
              </a:solidFill>
            </c:spPr>
          </c:dPt>
          <c:dPt>
            <c:idx val="1"/>
            <c:bubble3D val="0"/>
            <c:spPr bwMode="auto">
              <a:prstGeom prst="rect">
                <a:avLst/>
              </a:prstGeom>
              <a:solidFill>
                <a:schemeClr val="accent1"/>
              </a:solidFill>
            </c:spPr>
          </c:dPt>
          <c:dPt>
            <c:idx val="2"/>
            <c:bubble3D val="0"/>
            <c:spPr bwMode="auto">
              <a:prstGeom prst="rect">
                <a:avLst/>
              </a:prstGeom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0.002750"/>
                  <c:y val="0.08344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6360"/>
                  <c:y val="-0.030554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6960"/>
                  <c:y val="0.0117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  <a:miter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Высокий рейтинг</c:v>
                </c:pt>
                <c:pt idx="1">
                  <c:v xml:space="preserve"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5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592960"/>
          <c:y val="0.382300"/>
          <c:w val="0.237330"/>
          <c:h val="0.50929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Оценка эффективности деятельности в сфере противодействия коррупции исполнительных органов Томской области, имеющих подведомственные предприятия, учреждения                            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9300"/>
          <c:y val="0.32556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dPt>
            <c:idx val="0"/>
            <c:bubble3D val="0"/>
            <c:spPr bwMode="auto">
              <a:prstGeom prst="rect">
                <a:avLst/>
              </a:prstGeom>
              <a:solidFill>
                <a:schemeClr val="accent3"/>
              </a:solidFill>
            </c:spPr>
          </c:dPt>
          <c:dPt>
            <c:idx val="1"/>
            <c:bubble3D val="0"/>
            <c:explosion val="32"/>
            <c:spPr bwMode="auto">
              <a:prstGeom prst="rect">
                <a:avLst/>
              </a:prstGeom>
              <a:solidFill>
                <a:schemeClr val="accent1"/>
              </a:solidFill>
            </c:spPr>
          </c:dPt>
          <c:dPt>
            <c:idx val="2"/>
            <c:bubble3D val="0"/>
            <c:spPr bwMode="auto">
              <a:prstGeom prst="rect">
                <a:avLst/>
              </a:prstGeom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0.006944"/>
                  <c:y val="-0.032415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1"/>
              <c:layout>
                <c:manualLayout>
                  <c:x val="-0.019800"/>
                  <c:y val="0.08597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6960"/>
                  <c:y val="0.0040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3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Высокий рейтинг</c:v>
                </c:pt>
                <c:pt idx="1">
                  <c:v xml:space="preserve">Средний рейтинг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</c:v>
                </c:pt>
                <c:pt idx="1">
                  <c:v>17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608610"/>
          <c:y val="0.398950"/>
          <c:w val="0.237330"/>
          <c:h val="0.37202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1"/>
  <c:lang val="ru-RU"/>
  <c:roundedCorners val="0"/>
  <mc:AlternateContent>
    <mc:Choice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/>
                <a:ea typeface="PT Astra Serif"/>
              </a:defRPr>
            </a:pPr>
            <a:r>
              <a:rPr lang="ru-RU" sz="1000">
                <a:latin typeface="PT Astra Serif"/>
                <a:ea typeface="PT Astra Serif"/>
              </a:rPr>
              <a:t>Обращения граждан, содержащие информацию </a:t>
            </a:r>
            <a:br>
              <a:rPr lang="ru-RU" sz="1000">
                <a:latin typeface="PT Astra Serif"/>
                <a:ea typeface="PT Astra Serif"/>
              </a:rPr>
            </a:br>
            <a:r>
              <a:rPr lang="ru-RU" sz="1000">
                <a:latin typeface="PT Astra Serif"/>
                <a:ea typeface="PT Astra Serif"/>
              </a:rPr>
              <a:t>о возможных фактах проявления коррупции </a:t>
            </a:r>
            <a:endParaRPr lang="ru-RU" sz="900" b="0">
              <a:latin typeface="PT Astra Serif"/>
              <a:ea typeface="PT Astra Serif"/>
            </a:endParaRPr>
          </a:p>
        </c:rich>
      </c:tx>
      <c:layout>
        <c:manualLayout>
          <c:xMode val="edge"/>
          <c:yMode val="edge"/>
          <c:x val="0.110500"/>
          <c:y val="0.026700"/>
        </c:manualLayout>
      </c:layout>
      <c:overlay val="0"/>
    </c:title>
    <c:autoTitleDeleted val="0"/>
    <c:view3D>
      <c:rotX val="30"/>
      <c:rotY val="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059330"/>
          <c:y val="0.300160"/>
          <c:w val="0.384110"/>
          <c:h val="0.525690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 xml:space="preserve"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 bwMode="auto">
              <a:prstGeom prst="rect">
                <a:avLst/>
              </a:prstGeom>
              <a:solidFill>
                <a:schemeClr val="accent3"/>
              </a:solidFill>
            </c:spPr>
          </c:dPt>
          <c:dPt>
            <c:idx val="1"/>
            <c:bubble3D val="0"/>
            <c:spPr bwMode="auto">
              <a:prstGeom prst="rect">
                <a:avLst/>
              </a:prstGeom>
              <a:solidFill>
                <a:schemeClr val="accent1"/>
              </a:solidFill>
            </c:spPr>
          </c:dPt>
          <c:dPt>
            <c:idx val="2"/>
            <c:bubble3D val="0"/>
            <c:spPr bwMode="auto">
              <a:prstGeom prst="rect">
                <a:avLst/>
              </a:prstGeom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0.005810"/>
                  <c:y val="0.1145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  <c:tx>
                <c:rich>
                  <a:bodyPr/>
                  <a:lstStyle/>
                  <a:p>
                    <a:pPr>
                      <a:defRPr/>
                    </a:pPr>
                    <a:r>
                      <a:rPr lang="ru-RU"/>
                      <a:t>58</a:t>
                    </a:r>
                    <a:endParaRPr/>
                  </a:p>
                </c:rich>
              </c:tx>
            </c:dLbl>
            <c:dLbl>
              <c:idx val="1"/>
              <c:layout>
                <c:manualLayout>
                  <c:x val="-0.039629"/>
                  <c:y val="-0.035322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2"/>
              <c:layout>
                <c:manualLayout>
                  <c:x val="0.006960"/>
                  <c:y val="0.0040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3"/>
              <c:layout>
                <c:manualLayout>
                  <c:x val="0.002350"/>
                  <c:y val="-0.0806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4"/>
              <c:layout>
                <c:manualLayout>
                  <c:x val="0.045010"/>
                  <c:y val="-0.03458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5"/>
              <c:layout>
                <c:manualLayout>
                  <c:x val="0.007520"/>
                  <c:y val="-0.00240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6"/>
              <c:layout>
                <c:manualLayout>
                  <c:x val="0.014220"/>
                  <c:y val="0.01279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7"/>
              <c:layout>
                <c:manualLayout>
                  <c:x val="0.010750"/>
                  <c:y val="0.01012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dLbl>
              <c:idx val="8"/>
              <c:layout>
                <c:manualLayout>
                  <c:x val="0.003590"/>
                  <c:y val="0.012210"/>
                </c:manualLayout>
              </c:layout>
              <c:showBubbleSize val="0"/>
              <c:showCatName val="0"/>
              <c:showLegendKey val="0"/>
              <c:showPercent val="0"/>
              <c:showSerName val="0"/>
              <c:showVal val="1"/>
            </c:dLbl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PT Astra Serif"/>
                    <a:ea typeface="PT Astra Serif"/>
                  </a:defRPr>
                </a:pPr>
                <a:endParaRPr lang="ru-RU"/>
              </a:p>
            </c:txPr>
          </c:dLbls>
          <c:cat>
            <c:strRef>
              <c:f>Лист1!$A$2:$A$3</c:f>
              <c:strCache>
                <c:ptCount val="2"/>
                <c:pt idx="0">
                  <c:v xml:space="preserve">В органах государственной власти Томской области</c:v>
                </c:pt>
                <c:pt idx="1">
                  <c:v xml:space="preserve">В органах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55</c:v>
                </c:pt>
                <c:pt idx="1">
                  <c:v>12</c:v>
                </c:pt>
              </c:numCache>
            </c:numRef>
          </c:val>
        </c:ser>
        <c:dLbls>
          <c:showBubbleSize val="0"/>
          <c:showCatName val="0"/>
          <c:showLeaderLines val="1"/>
          <c:showLegendKey val="0"/>
          <c:showPercent val="0"/>
          <c:showSerName val="0"/>
          <c:showVal val="0"/>
        </c:dLbls>
      </c:pie3DChart>
    </c:plotArea>
    <c:legend>
      <c:legendPos val="r"/>
      <c:layout>
        <c:manualLayout>
          <c:xMode val="edge"/>
          <c:yMode val="edge"/>
          <c:x val="0.521570"/>
          <c:y val="0.394000"/>
          <c:w val="0.393710"/>
          <c:h val="0.299650"/>
        </c:manualLayout>
      </c:layout>
      <c:overlay val="0"/>
      <c:txPr>
        <a:bodyPr/>
        <a:lstStyle/>
        <a:p>
          <a:pPr>
            <a:defRPr sz="750">
              <a:latin typeface="PT Astra Serif"/>
              <a:ea typeface="PT Astra Serif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 xmlns:r="http://schemas.openxmlformats.org/officeDocument/2006/relationships" xmlns:p="http://schemas.openxmlformats.org/presentationml/2006/main">
  <a:clrScheme name="Отчет год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A7EA52"/>
    </a:accent1>
    <a:accent2>
      <a:srgbClr val="5ECCF3"/>
    </a:accent2>
    <a:accent3>
      <a:srgbClr val="4E67C8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Arial"/>
      <a:cs typeface="Arial"/>
    </a:majorFont>
    <a:minorFont>
      <a:latin typeface="Trebuchet MS"/>
      <a:ea typeface="Arial"/>
      <a:cs typeface="Arial"/>
    </a:minorFont>
  </a:fontScheme>
  <a:fmtScheme name="Воздушный поток">
    <a:fillStyleLst>
      <a:solidFill>
        <a:schemeClr val="phClr"/>
      </a:solidFill>
      <a:gradFill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</a:effectStyleLst>
    <a:bgFillStyleLst>
      <a:solidFill>
        <a:schemeClr val="phClr"/>
      </a:solidFill>
      <a:gradFill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/>
      </a:gradFill>
      <a:gradFill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Р7-Офис/2025.2.1.812</Application>
  <Company>КонсультантПлюс Версия 4024.00.50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Томской области от 10.02.2025 N 90-ра
"Об утверждении региональной программы противодействия коррупции в Томской области на 2025 - 2028 годы"</dc:title>
  <dc:creator>Я</dc:creator>
  <cp:lastModifiedBy>stepanovayus@ato.gov70.ru</cp:lastModifiedBy>
  <cp:revision>148</cp:revision>
  <dcterms:created xsi:type="dcterms:W3CDTF">2026-02-15T16:34:00Z</dcterms:created>
  <dcterms:modified xsi:type="dcterms:W3CDTF">2026-04-10T08:45:30Z</dcterms:modified>
</cp:coreProperties>
</file>