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spacing w:after="240"/>
        <w:ind/>
        <w:jc w:val="center"/>
        <w:rPr>
          <w:b w:val="1"/>
          <w:sz w:val="28"/>
        </w:rPr>
      </w:pPr>
      <w:r>
        <w:rPr>
          <w:b w:val="1"/>
          <w:sz w:val="28"/>
        </w:rPr>
        <w:t>Извещение о начале выполнения комплексных кадастровых работ</w:t>
      </w:r>
    </w:p>
    <w:tbl>
      <w:tblPr>
        <w:tblStyle w:val="Style_2"/>
        <w:tblLayout w:type="fixed"/>
        <w:tblCellMar>
          <w:left w:type="dxa" w:w="28"/>
          <w:right w:type="dxa" w:w="28"/>
        </w:tblCellMar>
      </w:tblPr>
      <w:tblGrid>
        <w:gridCol w:w="1976"/>
        <w:gridCol w:w="194"/>
        <w:gridCol w:w="390"/>
        <w:gridCol w:w="250"/>
        <w:gridCol w:w="1280"/>
        <w:gridCol w:w="111"/>
        <w:gridCol w:w="584"/>
        <w:gridCol w:w="779"/>
        <w:gridCol w:w="390"/>
        <w:gridCol w:w="250"/>
        <w:gridCol w:w="1280"/>
        <w:gridCol w:w="111"/>
        <w:gridCol w:w="584"/>
        <w:gridCol w:w="1742"/>
      </w:tblGrid>
      <w:tr>
        <w:tc>
          <w:tcPr>
            <w:tcW w:type="dxa" w:w="1976"/>
            <w:tcMar>
              <w:left w:type="dxa" w:w="28"/>
              <w:right w:type="dxa" w:w="28"/>
            </w:tcMar>
            <w:vAlign w:val="bottom"/>
          </w:tcPr>
          <w:p w14:paraId="03000000">
            <w:pPr>
              <w:spacing w:line="276" w:lineRule="auto"/>
              <w:ind/>
              <w:rPr>
                <w:sz w:val="24"/>
              </w:rPr>
            </w:pPr>
          </w:p>
          <w:p w14:paraId="04000000">
            <w:pPr>
              <w:spacing w:line="276" w:lineRule="auto"/>
              <w:ind w:firstLine="567" w:left="0"/>
              <w:rPr>
                <w:sz w:val="24"/>
              </w:rPr>
            </w:pPr>
            <w:r>
              <w:rPr>
                <w:sz w:val="24"/>
              </w:rPr>
              <w:t xml:space="preserve">1. В период </w:t>
            </w:r>
            <w:r>
              <w:rPr>
                <w:sz w:val="24"/>
              </w:rPr>
              <w:t>с</w:t>
            </w:r>
          </w:p>
        </w:tc>
        <w:tc>
          <w:tcPr>
            <w:tcW w:type="dxa" w:w="194"/>
            <w:tcMar>
              <w:left w:type="dxa" w:w="28"/>
              <w:right w:type="dxa" w:w="28"/>
            </w:tcMar>
            <w:vAlign w:val="bottom"/>
          </w:tcPr>
          <w:p w14:paraId="05000000">
            <w:pPr>
              <w:spacing w:line="276" w:lineRule="auto"/>
              <w:ind/>
              <w:jc w:val="right"/>
              <w:rPr>
                <w:sz w:val="24"/>
              </w:rPr>
            </w:pPr>
            <w:r>
              <w:rPr>
                <w:sz w:val="24"/>
              </w:rPr>
              <w:t>«</w:t>
            </w:r>
          </w:p>
        </w:tc>
        <w:tc>
          <w:tcPr>
            <w:tcW w:type="dxa" w:w="390"/>
            <w:tcBorders>
              <w:bottom w:color="000000" w:sz="4" w:val="single"/>
            </w:tcBorders>
            <w:tcMar>
              <w:left w:type="dxa" w:w="28"/>
              <w:right w:type="dxa" w:w="28"/>
            </w:tcMar>
            <w:vAlign w:val="bottom"/>
          </w:tcPr>
          <w:p w14:paraId="06000000">
            <w:pPr>
              <w:spacing w:line="276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type="dxa" w:w="250"/>
            <w:tcMar>
              <w:left w:type="dxa" w:w="28"/>
              <w:right w:type="dxa" w:w="28"/>
            </w:tcMar>
            <w:vAlign w:val="bottom"/>
          </w:tcPr>
          <w:p w14:paraId="07000000">
            <w:pPr>
              <w:spacing w:line="276" w:lineRule="auto"/>
              <w:ind/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type="dxa" w:w="1280"/>
            <w:tcBorders>
              <w:bottom w:color="000000" w:sz="4" w:val="single"/>
            </w:tcBorders>
            <w:tcMar>
              <w:left w:type="dxa" w:w="28"/>
              <w:right w:type="dxa" w:w="28"/>
            </w:tcMar>
            <w:vAlign w:val="bottom"/>
          </w:tcPr>
          <w:p w14:paraId="08000000">
            <w:pPr>
              <w:spacing w:line="276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января</w:t>
            </w:r>
          </w:p>
        </w:tc>
        <w:tc>
          <w:tcPr>
            <w:tcW w:type="dxa" w:w="111"/>
            <w:tcMar>
              <w:left w:type="dxa" w:w="28"/>
              <w:right w:type="dxa" w:w="28"/>
            </w:tcMar>
            <w:vAlign w:val="bottom"/>
          </w:tcPr>
          <w:p w14:paraId="09000000">
            <w:pPr>
              <w:spacing w:line="276" w:lineRule="auto"/>
              <w:ind/>
              <w:rPr>
                <w:sz w:val="24"/>
              </w:rPr>
            </w:pPr>
          </w:p>
        </w:tc>
        <w:tc>
          <w:tcPr>
            <w:tcW w:type="dxa" w:w="584"/>
            <w:tcBorders>
              <w:bottom w:color="000000" w:sz="4" w:val="single"/>
            </w:tcBorders>
            <w:tcMar>
              <w:left w:type="dxa" w:w="28"/>
              <w:right w:type="dxa" w:w="28"/>
            </w:tcMar>
            <w:vAlign w:val="bottom"/>
          </w:tcPr>
          <w:p w14:paraId="0A000000">
            <w:pPr>
              <w:spacing w:line="276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2026</w:t>
            </w:r>
          </w:p>
        </w:tc>
        <w:tc>
          <w:tcPr>
            <w:tcW w:type="dxa" w:w="779"/>
            <w:tcMar>
              <w:left w:type="dxa" w:w="28"/>
              <w:right w:type="dxa" w:w="28"/>
            </w:tcMar>
            <w:vAlign w:val="bottom"/>
          </w:tcPr>
          <w:p w14:paraId="0B000000">
            <w:pPr>
              <w:spacing w:line="276" w:lineRule="auto"/>
              <w:ind/>
              <w:jc w:val="right"/>
              <w:rPr>
                <w:sz w:val="24"/>
              </w:rPr>
            </w:pPr>
            <w:r>
              <w:rPr>
                <w:sz w:val="24"/>
              </w:rPr>
              <w:t>г. по «</w:t>
            </w:r>
          </w:p>
        </w:tc>
        <w:tc>
          <w:tcPr>
            <w:tcW w:type="dxa" w:w="390"/>
            <w:tcBorders>
              <w:bottom w:color="000000" w:sz="4" w:val="single"/>
            </w:tcBorders>
            <w:tcMar>
              <w:left w:type="dxa" w:w="28"/>
              <w:right w:type="dxa" w:w="28"/>
            </w:tcMar>
            <w:vAlign w:val="bottom"/>
          </w:tcPr>
          <w:p w14:paraId="0C000000">
            <w:pPr>
              <w:spacing w:line="276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type="dxa" w:w="250"/>
            <w:tcMar>
              <w:left w:type="dxa" w:w="28"/>
              <w:right w:type="dxa" w:w="28"/>
            </w:tcMar>
            <w:vAlign w:val="bottom"/>
          </w:tcPr>
          <w:p w14:paraId="0D000000">
            <w:pPr>
              <w:spacing w:line="276" w:lineRule="auto"/>
              <w:ind/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type="dxa" w:w="1280"/>
            <w:tcBorders>
              <w:bottom w:color="000000" w:sz="4" w:val="single"/>
            </w:tcBorders>
            <w:tcMar>
              <w:left w:type="dxa" w:w="28"/>
              <w:right w:type="dxa" w:w="28"/>
            </w:tcMar>
            <w:vAlign w:val="bottom"/>
          </w:tcPr>
          <w:p w14:paraId="0E000000">
            <w:pPr>
              <w:spacing w:line="276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декабря</w:t>
            </w:r>
          </w:p>
        </w:tc>
        <w:tc>
          <w:tcPr>
            <w:tcW w:type="dxa" w:w="111"/>
            <w:tcMar>
              <w:left w:type="dxa" w:w="28"/>
              <w:right w:type="dxa" w:w="28"/>
            </w:tcMar>
            <w:vAlign w:val="bottom"/>
          </w:tcPr>
          <w:p w14:paraId="0F000000">
            <w:pPr>
              <w:spacing w:line="276" w:lineRule="auto"/>
              <w:ind/>
              <w:rPr>
                <w:sz w:val="24"/>
              </w:rPr>
            </w:pPr>
          </w:p>
        </w:tc>
        <w:tc>
          <w:tcPr>
            <w:tcW w:type="dxa" w:w="584"/>
            <w:tcBorders>
              <w:bottom w:color="000000" w:sz="4" w:val="single"/>
            </w:tcBorders>
            <w:tcMar>
              <w:left w:type="dxa" w:w="28"/>
              <w:right w:type="dxa" w:w="28"/>
            </w:tcMar>
            <w:vAlign w:val="bottom"/>
          </w:tcPr>
          <w:p w14:paraId="10000000">
            <w:pPr>
              <w:spacing w:line="276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2026</w:t>
            </w:r>
          </w:p>
        </w:tc>
        <w:tc>
          <w:tcPr>
            <w:tcW w:type="dxa" w:w="1742"/>
            <w:tcMar>
              <w:left w:type="dxa" w:w="28"/>
              <w:right w:type="dxa" w:w="28"/>
            </w:tcMar>
            <w:vAlign w:val="bottom"/>
          </w:tcPr>
          <w:p w14:paraId="11000000">
            <w:pPr>
              <w:spacing w:line="276" w:lineRule="auto"/>
              <w:ind w:firstLine="0" w:left="57"/>
              <w:rPr>
                <w:sz w:val="24"/>
              </w:rPr>
            </w:pPr>
            <w:r>
              <w:rPr>
                <w:sz w:val="24"/>
              </w:rPr>
              <w:t>г. в отношении</w:t>
            </w:r>
          </w:p>
        </w:tc>
      </w:tr>
    </w:tbl>
    <w:p w14:paraId="12000000">
      <w:pPr>
        <w:spacing w:line="276" w:lineRule="auto"/>
        <w:ind/>
        <w:rPr>
          <w:sz w:val="24"/>
        </w:rPr>
      </w:pPr>
      <w:r>
        <w:rPr>
          <w:sz w:val="24"/>
        </w:rPr>
        <w:t>объектов недвижимости, расположенных на территории следующих кадастровых кварталов:</w:t>
      </w:r>
    </w:p>
    <w:tbl>
      <w:tblPr>
        <w:tblStyle w:val="Style_3"/>
        <w:tblLayout w:type="fixed"/>
      </w:tblPr>
      <w:tblGrid>
        <w:gridCol w:w="1978"/>
        <w:gridCol w:w="7944"/>
      </w:tblGrid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13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70:02:0101001</w:t>
            </w:r>
          </w:p>
        </w:tc>
        <w:tc>
          <w:tcPr>
            <w:tcW w:type="dxa" w:w="7944"/>
            <w:vAlign w:val="center"/>
          </w:tcPr>
          <w:p w14:paraId="14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с. Батурино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15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70:02:0101002</w:t>
            </w:r>
          </w:p>
        </w:tc>
        <w:tc>
          <w:tcPr>
            <w:tcW w:type="dxa" w:w="7944"/>
            <w:vAlign w:val="center"/>
          </w:tcPr>
          <w:p w14:paraId="16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с. Батурино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17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70:02:0200003</w:t>
            </w:r>
          </w:p>
        </w:tc>
        <w:tc>
          <w:tcPr>
            <w:tcW w:type="dxa" w:w="7944"/>
            <w:vAlign w:val="center"/>
          </w:tcPr>
          <w:p w14:paraId="18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п. Большой Кордон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19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70:02:0200012</w:t>
            </w:r>
          </w:p>
        </w:tc>
        <w:tc>
          <w:tcPr>
            <w:tcW w:type="dxa" w:w="7944"/>
            <w:vAlign w:val="center"/>
          </w:tcPr>
          <w:p w14:paraId="1A000000">
            <w:pPr>
              <w:spacing w:after="120" w:before="120"/>
              <w:ind w:firstLine="0" w:left="120" w:right="1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sz w:val="24"/>
              </w:rPr>
              <w:t>Российская Федерация, Томская область, Асиновский район, д. Итатка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1B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70:02:0200013</w:t>
            </w:r>
          </w:p>
        </w:tc>
        <w:tc>
          <w:tcPr>
            <w:tcW w:type="dxa" w:w="7944"/>
            <w:vAlign w:val="center"/>
          </w:tcPr>
          <w:p w14:paraId="1C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с. Казанка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1D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70:02:0200016</w:t>
            </w:r>
          </w:p>
        </w:tc>
        <w:tc>
          <w:tcPr>
            <w:tcW w:type="dxa" w:w="7944"/>
            <w:vAlign w:val="center"/>
          </w:tcPr>
          <w:p w14:paraId="1E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с. Копыловка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1F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70:02:0200018</w:t>
            </w:r>
          </w:p>
        </w:tc>
        <w:tc>
          <w:tcPr>
            <w:tcW w:type="dxa" w:w="7944"/>
            <w:vAlign w:val="center"/>
          </w:tcPr>
          <w:p w14:paraId="20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д. Мало-Жирово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21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70:02:0200020</w:t>
            </w:r>
          </w:p>
        </w:tc>
        <w:tc>
          <w:tcPr>
            <w:tcW w:type="dxa" w:w="7944"/>
            <w:vAlign w:val="center"/>
          </w:tcPr>
          <w:p w14:paraId="22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с. Минаевка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23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70:02:0200024</w:t>
            </w:r>
          </w:p>
        </w:tc>
        <w:tc>
          <w:tcPr>
            <w:tcW w:type="dxa" w:w="7944"/>
            <w:vAlign w:val="center"/>
          </w:tcPr>
          <w:p w14:paraId="24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с. Новиковка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25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70:02:0200031</w:t>
            </w:r>
          </w:p>
        </w:tc>
        <w:tc>
          <w:tcPr>
            <w:tcW w:type="dxa" w:w="7944"/>
            <w:vAlign w:val="center"/>
          </w:tcPr>
          <w:p w14:paraId="26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п. Светлый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27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70:02:0200033</w:t>
            </w:r>
          </w:p>
        </w:tc>
        <w:tc>
          <w:tcPr>
            <w:tcW w:type="dxa" w:w="7944"/>
            <w:vAlign w:val="center"/>
          </w:tcPr>
          <w:p w14:paraId="28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д. Тихомировка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29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70:02:0200035</w:t>
            </w:r>
          </w:p>
        </w:tc>
        <w:tc>
          <w:tcPr>
            <w:tcW w:type="dxa" w:w="7944"/>
            <w:vAlign w:val="center"/>
          </w:tcPr>
          <w:p w14:paraId="2A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с. Филимоновка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2B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70:02:0200036</w:t>
            </w:r>
          </w:p>
        </w:tc>
        <w:tc>
          <w:tcPr>
            <w:tcW w:type="dxa" w:w="7944"/>
            <w:vAlign w:val="center"/>
          </w:tcPr>
          <w:p w14:paraId="2C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с. Цветковка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2D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70:03:0102001</w:t>
            </w:r>
          </w:p>
        </w:tc>
        <w:tc>
          <w:tcPr>
            <w:tcW w:type="dxa" w:w="7944"/>
            <w:vAlign w:val="center"/>
          </w:tcPr>
          <w:p w14:paraId="2E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Бакчарский район, с. Парбиг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2F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70:03:0102002</w:t>
            </w:r>
          </w:p>
        </w:tc>
        <w:tc>
          <w:tcPr>
            <w:tcW w:type="dxa" w:w="7944"/>
            <w:vAlign w:val="center"/>
          </w:tcPr>
          <w:p w14:paraId="30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Бакчарский район, с. Парбиг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31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70:09:0100007</w:t>
            </w:r>
          </w:p>
        </w:tc>
        <w:tc>
          <w:tcPr>
            <w:tcW w:type="dxa" w:w="7944"/>
            <w:vAlign w:val="center"/>
          </w:tcPr>
          <w:p w14:paraId="32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Кривошеинский район, с. Жуково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33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70:09:0100008</w:t>
            </w:r>
          </w:p>
        </w:tc>
        <w:tc>
          <w:tcPr>
            <w:tcW w:type="dxa" w:w="7944"/>
            <w:vAlign w:val="center"/>
          </w:tcPr>
          <w:p w14:paraId="34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Кривошеинский район, с. Иштан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35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70:09:0100013</w:t>
            </w:r>
          </w:p>
        </w:tc>
        <w:tc>
          <w:tcPr>
            <w:tcW w:type="dxa" w:w="7944"/>
            <w:vAlign w:val="center"/>
          </w:tcPr>
          <w:p w14:paraId="36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Кривошеинский район, с. Никольское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37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70:09:0100016</w:t>
            </w:r>
          </w:p>
        </w:tc>
        <w:tc>
          <w:tcPr>
            <w:tcW w:type="dxa" w:w="7944"/>
            <w:vAlign w:val="center"/>
          </w:tcPr>
          <w:p w14:paraId="38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Кривошеинский район, д. Новониколаевка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39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70:09:0100018</w:t>
            </w:r>
          </w:p>
        </w:tc>
        <w:tc>
          <w:tcPr>
            <w:tcW w:type="dxa" w:w="7944"/>
            <w:vAlign w:val="center"/>
          </w:tcPr>
          <w:p w14:paraId="3A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Кривошеинский район, с. Пудовка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3B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70:09:0103001</w:t>
            </w:r>
          </w:p>
        </w:tc>
        <w:tc>
          <w:tcPr>
            <w:tcW w:type="dxa" w:w="7944"/>
            <w:vAlign w:val="center"/>
          </w:tcPr>
          <w:p w14:paraId="3C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Кривошеинский район, с. Красный Яр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3D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70:09:0103002</w:t>
            </w:r>
          </w:p>
        </w:tc>
        <w:tc>
          <w:tcPr>
            <w:tcW w:type="dxa" w:w="7944"/>
            <w:vAlign w:val="center"/>
          </w:tcPr>
          <w:p w14:paraId="3E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Кривошеинский район, с. Красный Яр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3F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70:09:0103003</w:t>
            </w:r>
          </w:p>
        </w:tc>
        <w:tc>
          <w:tcPr>
            <w:tcW w:type="dxa" w:w="7944"/>
            <w:vAlign w:val="center"/>
          </w:tcPr>
          <w:p w14:paraId="40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Кривошеинский район, с. Красный Яр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41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70:10:0101003</w:t>
            </w:r>
          </w:p>
        </w:tc>
        <w:tc>
          <w:tcPr>
            <w:tcW w:type="dxa" w:w="7944"/>
            <w:vAlign w:val="center"/>
          </w:tcPr>
          <w:p w14:paraId="42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Молчановский район, с. Молчаново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43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70:12:0100002</w:t>
            </w:r>
          </w:p>
        </w:tc>
        <w:tc>
          <w:tcPr>
            <w:tcW w:type="dxa" w:w="7944"/>
            <w:vAlign w:val="center"/>
          </w:tcPr>
          <w:p w14:paraId="44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Первомайский район, с. Апсагачево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45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70:12:0200007</w:t>
            </w:r>
          </w:p>
        </w:tc>
        <w:tc>
          <w:tcPr>
            <w:tcW w:type="dxa" w:w="7944"/>
            <w:vAlign w:val="center"/>
          </w:tcPr>
          <w:p w14:paraId="46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Первомайский район, с. Ежи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47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70:12:0200022</w:t>
            </w:r>
          </w:p>
        </w:tc>
        <w:tc>
          <w:tcPr>
            <w:tcW w:type="dxa" w:w="7944"/>
            <w:vAlign w:val="center"/>
          </w:tcPr>
          <w:p w14:paraId="48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Первомайский район, п. Орехово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49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70:12:0200031</w:t>
            </w:r>
          </w:p>
        </w:tc>
        <w:tc>
          <w:tcPr>
            <w:tcW w:type="dxa" w:w="7944"/>
            <w:vAlign w:val="center"/>
          </w:tcPr>
          <w:p w14:paraId="4A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Первомайский район, д. Туендат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4B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70:13:0101001</w:t>
            </w:r>
          </w:p>
        </w:tc>
        <w:tc>
          <w:tcPr>
            <w:tcW w:type="dxa" w:w="7944"/>
            <w:vAlign w:val="center"/>
          </w:tcPr>
          <w:p w14:paraId="4C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Тегульдетский район, с. Тегульдет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4D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70:13:0101002</w:t>
            </w:r>
          </w:p>
        </w:tc>
        <w:tc>
          <w:tcPr>
            <w:tcW w:type="dxa" w:w="7944"/>
            <w:vAlign w:val="center"/>
          </w:tcPr>
          <w:p w14:paraId="4E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Тегульдетский район, с. Тегульдет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4F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70:13:0101003</w:t>
            </w:r>
          </w:p>
        </w:tc>
        <w:tc>
          <w:tcPr>
            <w:tcW w:type="dxa" w:w="7944"/>
            <w:vAlign w:val="center"/>
          </w:tcPr>
          <w:p w14:paraId="50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Тегульдетский район, с. Тегульдет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51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70:14:0100007</w:t>
            </w:r>
          </w:p>
        </w:tc>
        <w:tc>
          <w:tcPr>
            <w:tcW w:type="dxa" w:w="7944"/>
            <w:vAlign w:val="center"/>
          </w:tcPr>
          <w:p w14:paraId="52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д. Головина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53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70:14:0100009</w:t>
            </w:r>
          </w:p>
        </w:tc>
        <w:tc>
          <w:tcPr>
            <w:tcW w:type="dxa" w:w="7944"/>
            <w:vAlign w:val="center"/>
          </w:tcPr>
          <w:p w14:paraId="54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д. Губино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55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70:14:0100012</w:t>
            </w:r>
          </w:p>
        </w:tc>
        <w:tc>
          <w:tcPr>
            <w:tcW w:type="dxa" w:w="7944"/>
            <w:vAlign w:val="center"/>
          </w:tcPr>
          <w:p w14:paraId="56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д. Кудринский Участок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57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70:14:0100013</w:t>
            </w:r>
          </w:p>
        </w:tc>
        <w:tc>
          <w:tcPr>
            <w:tcW w:type="dxa" w:w="7944"/>
            <w:vAlign w:val="center"/>
          </w:tcPr>
          <w:p w14:paraId="58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д. Кудринский Участок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59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70:14:0104001</w:t>
            </w:r>
          </w:p>
        </w:tc>
        <w:tc>
          <w:tcPr>
            <w:tcW w:type="dxa" w:w="7944"/>
            <w:vAlign w:val="center"/>
          </w:tcPr>
          <w:p w14:paraId="5A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с. Калтай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5B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70:14:0104002</w:t>
            </w:r>
          </w:p>
        </w:tc>
        <w:tc>
          <w:tcPr>
            <w:tcW w:type="dxa" w:w="7944"/>
            <w:vAlign w:val="center"/>
          </w:tcPr>
          <w:p w14:paraId="5C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с. Калтай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5D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70:14:0104003</w:t>
            </w:r>
          </w:p>
        </w:tc>
        <w:tc>
          <w:tcPr>
            <w:tcW w:type="dxa" w:w="7944"/>
            <w:vAlign w:val="center"/>
          </w:tcPr>
          <w:p w14:paraId="5E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с. Калтай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5F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70:14:0105001</w:t>
            </w:r>
          </w:p>
        </w:tc>
        <w:tc>
          <w:tcPr>
            <w:tcW w:type="dxa" w:w="7944"/>
            <w:vAlign w:val="center"/>
          </w:tcPr>
          <w:p w14:paraId="60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д. Кандинка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61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70:14:0105002</w:t>
            </w:r>
          </w:p>
        </w:tc>
        <w:tc>
          <w:tcPr>
            <w:tcW w:type="dxa" w:w="7944"/>
            <w:vAlign w:val="center"/>
          </w:tcPr>
          <w:p w14:paraId="62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д. Кандинка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63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70:14:0107001</w:t>
            </w:r>
          </w:p>
        </w:tc>
        <w:tc>
          <w:tcPr>
            <w:tcW w:type="dxa" w:w="7944"/>
            <w:vAlign w:val="center"/>
          </w:tcPr>
          <w:p w14:paraId="64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с. Кафтанчиково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65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70:14:0110001</w:t>
            </w:r>
          </w:p>
        </w:tc>
        <w:tc>
          <w:tcPr>
            <w:tcW w:type="dxa" w:w="7944"/>
            <w:vAlign w:val="center"/>
          </w:tcPr>
          <w:p w14:paraId="66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с. Курлек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67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70:14:0110002</w:t>
            </w:r>
          </w:p>
        </w:tc>
        <w:tc>
          <w:tcPr>
            <w:tcW w:type="dxa" w:w="7944"/>
            <w:vAlign w:val="center"/>
          </w:tcPr>
          <w:p w14:paraId="68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с. Курлек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69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70:14:0110003</w:t>
            </w:r>
          </w:p>
        </w:tc>
        <w:tc>
          <w:tcPr>
            <w:tcW w:type="dxa" w:w="7944"/>
            <w:vAlign w:val="center"/>
          </w:tcPr>
          <w:p w14:paraId="6A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с. Курлек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6B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70:14:0110004</w:t>
            </w:r>
          </w:p>
        </w:tc>
        <w:tc>
          <w:tcPr>
            <w:tcW w:type="dxa" w:w="7944"/>
            <w:vAlign w:val="center"/>
          </w:tcPr>
          <w:p w14:paraId="6C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с. Курлек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6D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70:14:0113001</w:t>
            </w:r>
          </w:p>
        </w:tc>
        <w:tc>
          <w:tcPr>
            <w:tcW w:type="dxa" w:w="7944"/>
            <w:vAlign w:val="center"/>
          </w:tcPr>
          <w:p w14:paraId="6E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д. Нелюбино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6F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70:14:0113002</w:t>
            </w:r>
          </w:p>
        </w:tc>
        <w:tc>
          <w:tcPr>
            <w:tcW w:type="dxa" w:w="7944"/>
            <w:vAlign w:val="center"/>
          </w:tcPr>
          <w:p w14:paraId="70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д. Нелюбино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71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70:14:0211003</w:t>
            </w:r>
          </w:p>
        </w:tc>
        <w:tc>
          <w:tcPr>
            <w:tcW w:type="dxa" w:w="7944"/>
            <w:vAlign w:val="center"/>
          </w:tcPr>
          <w:p w14:paraId="72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окр. п. Копылово, СНТ «Вишенка»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73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70:14:0314001</w:t>
            </w:r>
          </w:p>
        </w:tc>
        <w:tc>
          <w:tcPr>
            <w:tcW w:type="dxa" w:w="7944"/>
            <w:vAlign w:val="center"/>
          </w:tcPr>
          <w:p w14:paraId="74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город Томск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75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70:14:0337025</w:t>
            </w:r>
          </w:p>
        </w:tc>
        <w:tc>
          <w:tcPr>
            <w:tcW w:type="dxa" w:w="7944"/>
            <w:vAlign w:val="center"/>
          </w:tcPr>
          <w:p w14:paraId="76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окр. с. Богашево, СНТ «Строитель»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77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70:14:0345007</w:t>
            </w:r>
          </w:p>
        </w:tc>
        <w:tc>
          <w:tcPr>
            <w:tcW w:type="dxa" w:w="7944"/>
            <w:vAlign w:val="center"/>
          </w:tcPr>
          <w:p w14:paraId="78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Томский район, окр. с. Межениновка, СНТ «Мост»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79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70:15:0101001</w:t>
            </w:r>
          </w:p>
        </w:tc>
        <w:tc>
          <w:tcPr>
            <w:tcW w:type="dxa" w:w="7944"/>
            <w:vAlign w:val="center"/>
          </w:tcPr>
          <w:p w14:paraId="7A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Чаинский район, с. Подгорное</w:t>
            </w:r>
          </w:p>
        </w:tc>
      </w:tr>
      <w:tr>
        <w:trPr>
          <w:trHeight w:hRule="atLeast" w:val="484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7B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70:17:0000007</w:t>
            </w:r>
          </w:p>
        </w:tc>
        <w:tc>
          <w:tcPr>
            <w:tcW w:type="dxa" w:w="7944"/>
            <w:vAlign w:val="center"/>
          </w:tcPr>
          <w:p w14:paraId="7C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г. Асино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7D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70:17:0000016</w:t>
            </w:r>
          </w:p>
        </w:tc>
        <w:tc>
          <w:tcPr>
            <w:tcW w:type="dxa" w:w="7944"/>
            <w:vAlign w:val="center"/>
          </w:tcPr>
          <w:p w14:paraId="7E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г. Асино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7F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70:17:0000017</w:t>
            </w:r>
          </w:p>
        </w:tc>
        <w:tc>
          <w:tcPr>
            <w:tcW w:type="dxa" w:w="7944"/>
            <w:vAlign w:val="center"/>
          </w:tcPr>
          <w:p w14:paraId="80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г. Асино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81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70:17:0000018</w:t>
            </w:r>
          </w:p>
        </w:tc>
        <w:tc>
          <w:tcPr>
            <w:tcW w:type="dxa" w:w="7944"/>
            <w:vAlign w:val="center"/>
          </w:tcPr>
          <w:p w14:paraId="82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Асиновский район, г. Асино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83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70:21:0100070</w:t>
            </w:r>
          </w:p>
        </w:tc>
        <w:tc>
          <w:tcPr>
            <w:tcW w:type="dxa" w:w="7944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город Томск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85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70:21:0100081</w:t>
            </w:r>
          </w:p>
        </w:tc>
        <w:tc>
          <w:tcPr>
            <w:tcW w:type="dxa" w:w="7944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город Томск</w:t>
            </w:r>
          </w:p>
        </w:tc>
      </w:tr>
      <w:tr>
        <w:trPr>
          <w:trHeight w:hRule="atLeast" w:val="450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87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70:21:0102001</w:t>
            </w:r>
          </w:p>
        </w:tc>
        <w:tc>
          <w:tcPr>
            <w:tcW w:type="dxa" w:w="7944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город Томск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89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70:21:0104002</w:t>
            </w:r>
          </w:p>
        </w:tc>
        <w:tc>
          <w:tcPr>
            <w:tcW w:type="dxa" w:w="7944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A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город Томск</w:t>
            </w:r>
          </w:p>
        </w:tc>
      </w:tr>
      <w:tr>
        <w:trPr>
          <w:trHeight w:hRule="atLeast" w:val="312"/>
        </w:trPr>
        <w:tc>
          <w:tcPr>
            <w:tcW w:type="dxa" w:w="197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vAlign w:val="center"/>
          </w:tcPr>
          <w:p w14:paraId="8B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70:21:0200011</w:t>
            </w:r>
          </w:p>
        </w:tc>
        <w:tc>
          <w:tcPr>
            <w:tcW w:type="dxa" w:w="7944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00000">
            <w:pPr>
              <w:ind/>
              <w:jc w:val="left"/>
              <w:rPr>
                <w:sz w:val="24"/>
              </w:rPr>
            </w:pPr>
            <w:r>
              <w:rPr>
                <w:sz w:val="24"/>
              </w:rPr>
              <w:t>Российская Федерация, Томская область, город Томск</w:t>
            </w:r>
          </w:p>
        </w:tc>
      </w:tr>
    </w:tbl>
    <w:p w14:paraId="8D000000">
      <w:pPr>
        <w:tabs>
          <w:tab w:leader="none" w:pos="9922" w:val="right"/>
        </w:tabs>
        <w:spacing w:line="276" w:lineRule="auto"/>
        <w:ind/>
        <w:jc w:val="both"/>
        <w:rPr>
          <w:sz w:val="24"/>
        </w:rPr>
      </w:pPr>
      <w:r>
        <w:rPr>
          <w:sz w:val="24"/>
        </w:rPr>
        <w:t xml:space="preserve">будут выполняться комплексные кадастровые работы в соответствии с Соглашением </w:t>
      </w:r>
      <w:r>
        <w:rPr>
          <w:sz w:val="24"/>
        </w:rPr>
        <w:br/>
      </w:r>
      <w:r>
        <w:rPr>
          <w:sz w:val="24"/>
        </w:rPr>
        <w:t xml:space="preserve">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sz w:val="24"/>
        </w:rPr>
        <w:br/>
      </w:r>
      <w:r>
        <w:rPr>
          <w:sz w:val="24"/>
        </w:rPr>
        <w:t xml:space="preserve">от 30.01.2026 № 321-20-2026-006, заключенным </w:t>
      </w:r>
    </w:p>
    <w:p w14:paraId="8E000000">
      <w:pPr>
        <w:spacing w:line="264" w:lineRule="auto"/>
        <w:ind/>
        <w:rPr>
          <w:sz w:val="24"/>
        </w:rPr>
      </w:pPr>
      <w:r>
        <w:rPr>
          <w:sz w:val="24"/>
        </w:rPr>
        <w:t xml:space="preserve">со стороны заказчика: </w:t>
      </w:r>
      <w:r>
        <w:rPr>
          <w:sz w:val="24"/>
          <w:u w:val="single"/>
        </w:rPr>
        <w:t xml:space="preserve">Управление </w:t>
      </w:r>
      <w:r>
        <w:rPr>
          <w:sz w:val="24"/>
          <w:u w:val="single"/>
        </w:rPr>
        <w:t>Росреестра</w:t>
      </w:r>
      <w:r>
        <w:rPr>
          <w:sz w:val="24"/>
          <w:u w:val="single"/>
        </w:rPr>
        <w:t xml:space="preserve"> по Томской области</w:t>
      </w:r>
    </w:p>
    <w:p w14:paraId="8F000000">
      <w:pPr>
        <w:tabs>
          <w:tab w:leader="none" w:pos="9922" w:val="right"/>
        </w:tabs>
        <w:spacing w:line="264" w:lineRule="auto"/>
        <w:ind/>
        <w:jc w:val="both"/>
        <w:rPr>
          <w:sz w:val="24"/>
        </w:rPr>
      </w:pPr>
      <w:r>
        <w:rPr>
          <w:sz w:val="24"/>
        </w:rPr>
        <w:t xml:space="preserve">почтовый адрес: </w:t>
      </w:r>
      <w:r>
        <w:rPr>
          <w:sz w:val="24"/>
          <w:u w:val="single"/>
        </w:rPr>
        <w:t>634003, г. Томск, ул. Пушкина, 34/1</w:t>
      </w:r>
    </w:p>
    <w:p w14:paraId="90000000">
      <w:pPr>
        <w:spacing w:line="276" w:lineRule="auto"/>
        <w:ind/>
        <w:rPr>
          <w:sz w:val="24"/>
        </w:rPr>
      </w:pPr>
      <w:r>
        <w:rPr>
          <w:sz w:val="24"/>
        </w:rPr>
        <w:t xml:space="preserve">адрес электронной почты: </w:t>
      </w:r>
      <w:r>
        <w:rPr>
          <w:sz w:val="24"/>
          <w:u w:val="single"/>
        </w:rPr>
        <w:t>70_upr@rosreestr.ru</w:t>
      </w:r>
    </w:p>
    <w:p w14:paraId="91000000">
      <w:pPr>
        <w:spacing w:line="264" w:lineRule="auto"/>
        <w:ind/>
        <w:rPr>
          <w:sz w:val="24"/>
        </w:rPr>
      </w:pPr>
      <w:r>
        <w:rPr>
          <w:sz w:val="24"/>
        </w:rPr>
        <w:t xml:space="preserve">со стороны исполнителя: </w:t>
      </w:r>
      <w:r>
        <w:rPr>
          <w:sz w:val="24"/>
          <w:u w:val="single"/>
        </w:rPr>
        <w:t>Филиал ППК «</w:t>
      </w:r>
      <w:r>
        <w:rPr>
          <w:sz w:val="24"/>
          <w:u w:val="single"/>
        </w:rPr>
        <w:t>Роскадастр</w:t>
      </w:r>
      <w:r>
        <w:rPr>
          <w:sz w:val="24"/>
          <w:u w:val="single"/>
        </w:rPr>
        <w:t>» по Томской области</w:t>
      </w:r>
    </w:p>
    <w:p w14:paraId="92000000">
      <w:pPr>
        <w:spacing w:line="264" w:lineRule="auto"/>
        <w:ind/>
        <w:rPr>
          <w:sz w:val="24"/>
          <w:u w:val="single"/>
        </w:rPr>
      </w:pPr>
      <w:r>
        <w:rPr>
          <w:sz w:val="24"/>
        </w:rPr>
        <w:t xml:space="preserve">почтовый адрес филиала: </w:t>
      </w:r>
      <w:r>
        <w:rPr>
          <w:sz w:val="24"/>
          <w:u w:val="single"/>
        </w:rPr>
        <w:t>634029, г. Томск,</w:t>
      </w:r>
      <w:r>
        <w:rPr>
          <w:u w:val="single"/>
        </w:rPr>
        <w:t xml:space="preserve"> </w:t>
      </w:r>
      <w:r>
        <w:rPr>
          <w:sz w:val="24"/>
          <w:u w:val="single"/>
        </w:rPr>
        <w:t>ул. Белинского, 8</w:t>
      </w:r>
    </w:p>
    <w:p w14:paraId="93000000">
      <w:pPr>
        <w:spacing w:line="264" w:lineRule="auto"/>
        <w:ind/>
        <w:rPr>
          <w:sz w:val="24"/>
          <w:u w:val="single"/>
        </w:rPr>
      </w:pPr>
      <w:r>
        <w:rPr>
          <w:sz w:val="24"/>
        </w:rPr>
        <w:t xml:space="preserve">адрес электронной </w:t>
      </w:r>
      <w:r>
        <w:rPr>
          <w:color w:val="000000"/>
          <w:sz w:val="24"/>
        </w:rPr>
        <w:t xml:space="preserve">почты: </w:t>
      </w:r>
      <w:r>
        <w:rPr>
          <w:rStyle w:val="Style_4_ch"/>
          <w:color w:val="000000"/>
          <w:sz w:val="24"/>
        </w:rPr>
        <w:fldChar w:fldCharType="begin"/>
      </w:r>
      <w:r>
        <w:rPr>
          <w:rStyle w:val="Style_4_ch"/>
          <w:color w:val="000000"/>
          <w:sz w:val="24"/>
        </w:rPr>
        <w:instrText>HYPERLINK "mailto:filial@70.kadastr.ru"</w:instrText>
      </w:r>
      <w:r>
        <w:rPr>
          <w:rStyle w:val="Style_4_ch"/>
          <w:color w:val="000000"/>
          <w:sz w:val="24"/>
        </w:rPr>
        <w:fldChar w:fldCharType="separate"/>
      </w:r>
      <w:r>
        <w:rPr>
          <w:rStyle w:val="Style_4_ch"/>
          <w:color w:val="000000"/>
          <w:sz w:val="24"/>
        </w:rPr>
        <w:t>filial@70.kadastr.ru</w:t>
      </w:r>
      <w:r>
        <w:rPr>
          <w:rStyle w:val="Style_4_ch"/>
          <w:color w:val="000000"/>
          <w:sz w:val="24"/>
        </w:rPr>
        <w:fldChar w:fldCharType="end"/>
      </w:r>
    </w:p>
    <w:p w14:paraId="94000000">
      <w:pPr>
        <w:spacing w:line="264" w:lineRule="auto"/>
        <w:ind/>
        <w:rPr>
          <w:sz w:val="24"/>
          <w:u w:val="single"/>
        </w:rPr>
      </w:pPr>
      <w:r>
        <w:rPr>
          <w:sz w:val="24"/>
        </w:rPr>
        <w:t xml:space="preserve">номер контактного телефона: </w:t>
      </w:r>
      <w:r>
        <w:rPr>
          <w:sz w:val="24"/>
          <w:u w:val="single"/>
        </w:rPr>
        <w:t>8(3822)46-78-71</w:t>
      </w:r>
      <w:r>
        <w:rPr>
          <w:sz w:val="24"/>
          <w:u w:val="single"/>
        </w:rPr>
        <w:t xml:space="preserve"> (2020)</w:t>
      </w:r>
    </w:p>
    <w:tbl>
      <w:tblPr>
        <w:tblStyle w:val="Style_2"/>
        <w:tblInd w:type="dxa" w:w="-459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484"/>
        <w:gridCol w:w="1483"/>
        <w:gridCol w:w="1753"/>
        <w:gridCol w:w="1483"/>
        <w:gridCol w:w="1483"/>
        <w:gridCol w:w="1214"/>
        <w:gridCol w:w="1480"/>
      </w:tblGrid>
      <w:tr>
        <w:trPr>
          <w:trHeight w:hRule="atLeast" w:val="3113"/>
        </w:trPr>
        <w:tc>
          <w:tcPr>
            <w:tcW w:type="dxa" w:w="14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5000000">
            <w:pPr>
              <w:tabs>
                <w:tab w:leader="none" w:pos="9922" w:val="right"/>
              </w:tabs>
              <w:spacing w:line="276" w:lineRule="auto"/>
              <w:ind/>
              <w:jc w:val="center"/>
            </w:pPr>
            <w:r>
              <w:t>ФИО</w:t>
            </w:r>
          </w:p>
          <w:p w14:paraId="96000000">
            <w:pPr>
              <w:tabs>
                <w:tab w:leader="none" w:pos="9922" w:val="right"/>
              </w:tabs>
              <w:spacing w:line="276" w:lineRule="auto"/>
              <w:ind/>
              <w:jc w:val="center"/>
            </w:pPr>
            <w:r>
              <w:t>кадастрового инженера</w:t>
            </w:r>
          </w:p>
        </w:tc>
        <w:tc>
          <w:tcPr>
            <w:tcW w:type="dxa" w:w="14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7000000">
            <w:pPr>
              <w:tabs>
                <w:tab w:leader="none" w:pos="9922" w:val="right"/>
              </w:tabs>
              <w:spacing w:line="276" w:lineRule="auto"/>
              <w:ind/>
              <w:jc w:val="center"/>
            </w:pPr>
            <w:r>
              <w:t>Наименование саморегулируемой организации кадастровых инженеров</w:t>
            </w:r>
          </w:p>
        </w:tc>
        <w:tc>
          <w:tcPr>
            <w:tcW w:type="dxa" w:w="17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8000000">
            <w:pPr>
              <w:pStyle w:val="Style_5"/>
              <w:spacing w:line="276" w:lineRule="auto"/>
              <w:ind/>
              <w:jc w:val="center"/>
              <w:rPr>
                <w:highlight w:val="white"/>
              </w:rPr>
            </w:pPr>
            <w:r>
              <w:rPr>
                <w:rFonts w:ascii="Times New Roman" w:hAnsi="Times New Roman"/>
              </w:rPr>
              <w:t>Уникальный регистрационный номер члена саморегулируемой  организации кадастровых   инженеров   в  реестре  членов  саморегулируемой  организации кадастровых инженеров</w:t>
            </w:r>
          </w:p>
        </w:tc>
        <w:tc>
          <w:tcPr>
            <w:tcW w:type="dxa" w:w="14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9000000">
            <w:pPr>
              <w:pStyle w:val="Style_5"/>
              <w:spacing w:line="276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внесения  сведений о физическом лице в реестр членов саморегулируемой</w:t>
            </w:r>
          </w:p>
          <w:p w14:paraId="9A000000">
            <w:pPr>
              <w:pStyle w:val="Style_5"/>
              <w:spacing w:line="276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организации кадастровых инженеров</w:t>
            </w:r>
          </w:p>
          <w:p w14:paraId="9B000000">
            <w:pPr>
              <w:tabs>
                <w:tab w:leader="none" w:pos="9922" w:val="right"/>
              </w:tabs>
              <w:spacing w:line="276" w:lineRule="auto"/>
              <w:ind/>
              <w:jc w:val="center"/>
              <w:rPr>
                <w:highlight w:val="white"/>
              </w:rPr>
            </w:pPr>
          </w:p>
        </w:tc>
        <w:tc>
          <w:tcPr>
            <w:tcW w:type="dxa" w:w="14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C000000">
            <w:pPr>
              <w:tabs>
                <w:tab w:leader="none" w:pos="9922" w:val="right"/>
              </w:tabs>
              <w:spacing w:line="276" w:lineRule="auto"/>
              <w:ind/>
              <w:jc w:val="center"/>
              <w:rPr>
                <w:highlight w:val="white"/>
              </w:rPr>
            </w:pPr>
            <w:r>
              <w:rPr>
                <w:highlight w:val="white"/>
              </w:rPr>
              <w:t>Почтовый адрес</w:t>
            </w:r>
          </w:p>
        </w:tc>
        <w:tc>
          <w:tcPr>
            <w:tcW w:type="dxa" w:w="12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D000000">
            <w:pPr>
              <w:pStyle w:val="Style_5"/>
              <w:spacing w:line="276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 электронной почты</w:t>
            </w:r>
          </w:p>
          <w:p w14:paraId="9E000000">
            <w:pPr>
              <w:tabs>
                <w:tab w:leader="none" w:pos="9922" w:val="right"/>
              </w:tabs>
              <w:spacing w:line="276" w:lineRule="auto"/>
              <w:ind/>
              <w:jc w:val="center"/>
              <w:rPr>
                <w:highlight w:val="white"/>
              </w:rPr>
            </w:pPr>
          </w:p>
        </w:tc>
        <w:tc>
          <w:tcPr>
            <w:tcW w:type="dxa" w:w="14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F000000">
            <w:pPr>
              <w:tabs>
                <w:tab w:leader="none" w:pos="9922" w:val="right"/>
              </w:tabs>
              <w:spacing w:line="276" w:lineRule="auto"/>
              <w:ind/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Номер контактного телефона</w:t>
            </w:r>
          </w:p>
        </w:tc>
      </w:tr>
      <w:tr>
        <w:trPr>
          <w:trHeight w:hRule="atLeast" w:val="1266"/>
        </w:trPr>
        <w:tc>
          <w:tcPr>
            <w:tcW w:type="dxa" w:w="14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0000000">
            <w:pPr>
              <w:tabs>
                <w:tab w:leader="none" w:pos="9922" w:val="right"/>
              </w:tabs>
              <w:spacing w:line="276" w:lineRule="auto"/>
              <w:ind/>
              <w:jc w:val="center"/>
            </w:pPr>
            <w:r>
              <w:t>Бурыхин Михаил Сергеевич</w:t>
            </w:r>
          </w:p>
        </w:tc>
        <w:tc>
          <w:tcPr>
            <w:tcW w:type="dxa" w:w="14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1000000">
            <w:pPr>
              <w:tabs>
                <w:tab w:leader="none" w:pos="9922" w:val="right"/>
              </w:tabs>
              <w:spacing w:line="276" w:lineRule="auto"/>
              <w:ind/>
              <w:jc w:val="center"/>
            </w:pPr>
            <w:r>
              <w:t>СРО Ассоциация «Гильдия кадастровых инженеров»</w:t>
            </w:r>
          </w:p>
        </w:tc>
        <w:tc>
          <w:tcPr>
            <w:tcW w:type="dxa" w:w="17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2000000">
            <w:pPr>
              <w:tabs>
                <w:tab w:leader="none" w:pos="9922" w:val="right"/>
              </w:tabs>
              <w:spacing w:line="276" w:lineRule="auto"/>
              <w:ind/>
              <w:jc w:val="center"/>
            </w:pPr>
            <w:r>
              <w:t>1650</w:t>
            </w:r>
          </w:p>
        </w:tc>
        <w:tc>
          <w:tcPr>
            <w:tcW w:type="dxa" w:w="14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3000000">
            <w:pPr>
              <w:tabs>
                <w:tab w:leader="none" w:pos="9922" w:val="right"/>
              </w:tabs>
              <w:spacing w:line="276" w:lineRule="auto"/>
              <w:ind/>
              <w:jc w:val="center"/>
            </w:pPr>
            <w:r>
              <w:t>22.01.2019</w:t>
            </w:r>
          </w:p>
        </w:tc>
        <w:tc>
          <w:tcPr>
            <w:tcW w:type="dxa" w:w="14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4000000">
            <w:pPr>
              <w:tabs>
                <w:tab w:leader="none" w:pos="9922" w:val="right"/>
              </w:tabs>
              <w:spacing w:line="276" w:lineRule="auto"/>
              <w:ind/>
              <w:jc w:val="center"/>
            </w:pPr>
            <w:r>
              <w:t>634029,</w:t>
            </w:r>
          </w:p>
          <w:p w14:paraId="A5000000">
            <w:pPr>
              <w:tabs>
                <w:tab w:leader="none" w:pos="9922" w:val="right"/>
              </w:tabs>
              <w:spacing w:line="276" w:lineRule="auto"/>
              <w:ind/>
              <w:jc w:val="center"/>
            </w:pPr>
            <w:r>
              <w:t>г. Томск, ул. Белинского, 8</w:t>
            </w:r>
          </w:p>
        </w:tc>
        <w:tc>
          <w:tcPr>
            <w:tcW w:type="dxa" w:w="12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6000000">
            <w:pPr>
              <w:tabs>
                <w:tab w:leader="none" w:pos="9922" w:val="right"/>
              </w:tabs>
              <w:spacing w:line="276" w:lineRule="auto"/>
              <w:ind/>
              <w:jc w:val="center"/>
            </w:pPr>
            <w:r>
              <w:t>filial@70.kadastr.ru</w:t>
            </w:r>
          </w:p>
        </w:tc>
        <w:tc>
          <w:tcPr>
            <w:tcW w:type="dxa" w:w="14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7000000">
            <w:pPr>
              <w:tabs>
                <w:tab w:leader="none" w:pos="9922" w:val="right"/>
              </w:tabs>
              <w:spacing w:line="276" w:lineRule="auto"/>
              <w:ind/>
              <w:jc w:val="center"/>
            </w:pPr>
            <w:r>
              <w:t>8(3822)46-78-71</w:t>
            </w:r>
            <w:r>
              <w:t xml:space="preserve"> (2020)</w:t>
            </w:r>
          </w:p>
        </w:tc>
      </w:tr>
    </w:tbl>
    <w:p w14:paraId="A8000000">
      <w:pPr>
        <w:ind w:firstLine="567" w:left="0"/>
        <w:jc w:val="both"/>
        <w:rPr>
          <w:sz w:val="24"/>
        </w:rPr>
      </w:pPr>
      <w:r>
        <w:rPr>
          <w:sz w:val="24"/>
        </w:rPr>
        <w:t xml:space="preserve">2. </w:t>
      </w:r>
      <w:r>
        <w:rPr>
          <w:sz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r>
        <w:rPr>
          <w:sz w:val="24"/>
        </w:rPr>
        <w:t xml:space="preserve"> учтенных в случае отсутствия в Едином государственном реестре недвижимости сведений о таких объектах недвижимости, вправе предоставить указанному </w:t>
      </w:r>
      <w:r>
        <w:rPr>
          <w:sz w:val="24"/>
        </w:rPr>
        <w:br/>
      </w:r>
      <w:r>
        <w:rPr>
          <w:sz w:val="24"/>
        </w:rPr>
        <w:t xml:space="preserve">в пункте 1 извещения о начале выполнения комплексных кадастровых работ  кадастровому инженеру – исполнителю комплексных кадастровых работ (филиал ППК </w:t>
      </w:r>
      <w:r>
        <w:rPr>
          <w:sz w:val="24"/>
        </w:rPr>
        <w:br/>
      </w:r>
      <w:r>
        <w:rPr>
          <w:sz w:val="24"/>
        </w:rPr>
        <w:t>«</w:t>
      </w:r>
      <w:r>
        <w:rPr>
          <w:sz w:val="24"/>
        </w:rPr>
        <w:t>Роскадастр</w:t>
      </w:r>
      <w:r>
        <w:rPr>
          <w:sz w:val="24"/>
        </w:rPr>
        <w:t xml:space="preserve">» по </w:t>
      </w:r>
      <w:r>
        <w:rPr>
          <w:sz w:val="24"/>
        </w:rPr>
        <w:t>Томской области</w:t>
      </w:r>
      <w:r>
        <w:rPr>
          <w:sz w:val="24"/>
        </w:rPr>
        <w:t xml:space="preserve"> </w:t>
      </w:r>
      <w:r>
        <w:rPr>
          <w:sz w:val="24"/>
        </w:rPr>
        <w:t>по адресу:</w:t>
      </w:r>
      <w:r>
        <w:t xml:space="preserve"> </w:t>
      </w:r>
      <w:r>
        <w:rPr>
          <w:sz w:val="24"/>
        </w:rPr>
        <w:t xml:space="preserve">634029, г. Томск, ул. Белинского, 8) </w:t>
      </w:r>
      <w:r>
        <w:rPr>
          <w:sz w:val="24"/>
        </w:rPr>
        <w:t>имеющие</w:t>
      </w:r>
      <w:r>
        <w:rPr>
          <w:sz w:val="24"/>
        </w:rPr>
        <w:t xml:space="preserve">ся у них материалы и документы </w:t>
      </w:r>
      <w:r>
        <w:rPr>
          <w:sz w:val="24"/>
        </w:rPr>
        <w:t>в отношении таких объектов недвижимости, а также заверенные в порядке, установленном частями 1 и 9 статьи 21 Федерального закона</w:t>
      </w:r>
      <w:r>
        <w:rPr>
          <w:sz w:val="24"/>
        </w:rPr>
        <w:t xml:space="preserve"> от 13 июля 2015 года № 218-ФЗ </w:t>
      </w:r>
      <w:r>
        <w:rPr>
          <w:sz w:val="24"/>
        </w:rPr>
        <w:t>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14:paraId="A9000000">
      <w:pPr>
        <w:tabs>
          <w:tab w:leader="none" w:pos="9922" w:val="right"/>
        </w:tabs>
        <w:spacing w:line="276" w:lineRule="auto"/>
        <w:ind w:firstLine="567" w:left="0"/>
        <w:jc w:val="both"/>
        <w:rPr>
          <w:sz w:val="24"/>
        </w:rPr>
      </w:pPr>
      <w:r>
        <w:rPr>
          <w:sz w:val="24"/>
        </w:rPr>
        <w:t>3. </w:t>
      </w:r>
      <w:r>
        <w:rPr>
          <w:sz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 (размещено на официальном сайте филиала ППК «</w:t>
      </w:r>
      <w:r>
        <w:rPr>
          <w:sz w:val="24"/>
        </w:rPr>
        <w:t>Роскадастр</w:t>
      </w:r>
      <w:r>
        <w:rPr>
          <w:sz w:val="24"/>
        </w:rPr>
        <w:t>» по</w:t>
      </w:r>
      <w:r>
        <w:rPr>
          <w:sz w:val="24"/>
        </w:rPr>
        <w:t xml:space="preserve"> Томской области</w:t>
      </w:r>
      <w:r>
        <w:rPr>
          <w:sz w:val="24"/>
        </w:rPr>
        <w:t xml:space="preserve">:  в сети «Интернет» </w:t>
      </w:r>
      <w:r>
        <w:rPr>
          <w:sz w:val="24"/>
        </w:rPr>
        <w:br/>
      </w:r>
      <w:r>
        <w:rPr>
          <w:sz w:val="24"/>
        </w:rPr>
        <w:t>по адресу: https://kadastr.ru/)  вправе предоставить кадастровому инженеру – исполнителю комплексных кадастровых работ, указанному в пункте 1 извещения о начале выполнения комплексных</w:t>
      </w:r>
      <w:r>
        <w:rPr>
          <w:sz w:val="24"/>
        </w:rPr>
        <w:t xml:space="preserve"> </w:t>
      </w:r>
      <w:r>
        <w:rPr>
          <w:sz w:val="24"/>
        </w:rPr>
        <w:t>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</w:t>
      </w:r>
      <w:r>
        <w:rPr>
          <w:sz w:val="24"/>
        </w:rPr>
        <w:t xml:space="preserve">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14:paraId="AA000000">
      <w:pPr>
        <w:tabs>
          <w:tab w:leader="none" w:pos="9922" w:val="right"/>
        </w:tabs>
        <w:spacing w:line="276" w:lineRule="auto"/>
        <w:ind w:firstLine="567" w:left="0"/>
        <w:jc w:val="both"/>
        <w:rPr>
          <w:sz w:val="24"/>
        </w:rPr>
      </w:pPr>
      <w:r>
        <w:rPr>
          <w:sz w:val="24"/>
        </w:rPr>
        <w:t xml:space="preserve"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</w:t>
      </w:r>
      <w:r>
        <w:rPr>
          <w:sz w:val="24"/>
        </w:rPr>
        <w:br/>
      </w:r>
      <w:r>
        <w:rPr>
          <w:sz w:val="24"/>
        </w:rPr>
        <w:t>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14:paraId="AB000000">
      <w:pPr>
        <w:spacing w:after="240" w:line="276" w:lineRule="auto"/>
        <w:ind w:firstLine="567" w:left="0"/>
        <w:jc w:val="both"/>
        <w:rPr>
          <w:sz w:val="24"/>
        </w:rPr>
      </w:pPr>
      <w:r>
        <w:rPr>
          <w:sz w:val="24"/>
        </w:rPr>
        <w:t>5. График выполнения комплексных кадастровых работ:</w:t>
      </w:r>
    </w:p>
    <w:tbl>
      <w:tblPr>
        <w:tblStyle w:val="Style_3"/>
        <w:tblInd w:type="dxa" w:w="108"/>
        <w:tblLayout w:type="fixed"/>
      </w:tblPr>
      <w:tblGrid>
        <w:gridCol w:w="543"/>
        <w:gridCol w:w="1803"/>
        <w:gridCol w:w="5699"/>
        <w:gridCol w:w="1769"/>
      </w:tblGrid>
      <w:tr>
        <w:trPr>
          <w:trHeight w:hRule="atLeast" w:val="312"/>
        </w:trPr>
        <w:tc>
          <w:tcPr>
            <w:tcW w:type="dxa" w:w="543"/>
            <w:vAlign w:val="center"/>
          </w:tcPr>
          <w:p w14:paraId="AC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>п</w:t>
            </w:r>
            <w:r>
              <w:rPr>
                <w:sz w:val="24"/>
              </w:rPr>
              <w:t>/п</w:t>
            </w:r>
          </w:p>
        </w:tc>
        <w:tc>
          <w:tcPr>
            <w:tcW w:type="dxa" w:w="7502"/>
            <w:gridSpan w:val="2"/>
            <w:vAlign w:val="center"/>
          </w:tcPr>
          <w:p w14:paraId="AD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Место выполнения 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>комплексных кадастровых работ</w:t>
            </w:r>
          </w:p>
        </w:tc>
        <w:tc>
          <w:tcPr>
            <w:tcW w:type="dxa" w:w="1769"/>
          </w:tcPr>
          <w:p w14:paraId="AE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Время выполнения 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>комплексных кадастровых работ</w:t>
            </w:r>
          </w:p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AF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70:02:0101001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1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с. Батурино</w:t>
            </w:r>
          </w:p>
        </w:tc>
        <w:tc>
          <w:tcPr>
            <w:tcW w:type="dxa" w:w="1769"/>
            <w:vMerge w:val="restart"/>
          </w:tcPr>
          <w:p w14:paraId="B2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будние дни с 31.01.2026 по 31.12.2026 </w:t>
            </w:r>
          </w:p>
          <w:p w14:paraId="B3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период с 8-00 </w:t>
            </w:r>
            <w:r>
              <w:rPr>
                <w:sz w:val="24"/>
              </w:rPr>
              <w:t>до 17-00.</w:t>
            </w:r>
          </w:p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B4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5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70:02:0101002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с. Батурино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B7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8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70:02:0200003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9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п. Большой Кордон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671"/>
        </w:trPr>
        <w:tc>
          <w:tcPr>
            <w:tcW w:type="dxa" w:w="543"/>
            <w:vAlign w:val="center"/>
          </w:tcPr>
          <w:p w14:paraId="BA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B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70:02:0200012</w:t>
            </w:r>
          </w:p>
        </w:tc>
        <w:tc>
          <w:tcPr>
            <w:tcW w:type="dxa" w:w="5699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C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д. Итатка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BD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E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70:02:0200013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с. Казанка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C0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1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70:02:0200016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2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с. Копыловка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C3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4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70:02:0200018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5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д. Мало-Жирово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C6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7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70:02:0200020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8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с. Минаевка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C9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A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70:02:0200024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B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с. Новиковка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CC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D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70:02:0200031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E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п. Светлый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CF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0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70:02:0200033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1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д. Тихомировка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D2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3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70:02:0200035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4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с. Филимоновка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D5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6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70:02:0200036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7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с. Цветковка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D8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9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70:03:0102001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A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Бакчарский район, с. Парбиг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DB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C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70:03:0102002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D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Бакчарский район, с. Парбиг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DE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F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70:09:0100007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0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Кривошеинский район, с. Жуково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E1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2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70:09:0100008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3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Кривошеинский район, с. Иштан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E4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5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70:09:0100013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6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Кривошеинский район, с. Никольское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E7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8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70:09:0100016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9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Кривошеинский район, д. Новониколаевка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EA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B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70:09:0100018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C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Кривошеинский район, с. Пудовка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ED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E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70:09:0103001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F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Кривошеинский район, с. Красный Яр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F0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1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70:09:0103002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2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Кривошеинский район, с. Красный Яр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F3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4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70:09:0103003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5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Кривошеинский район, с. Красный Яр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F6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7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70:10:0101003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8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Молчановский район, с. Молчаново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F9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A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70:12:0100002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B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Первомайский район, с. Апсагачево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FC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D00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70:12:0200007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E00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Первомайский район, с. Ежи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FF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0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70:12:0200022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1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Первомайский район, п. Орехово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02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3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70:12:0200031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4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Первомайский район, д. Туендат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05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6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70:13:0101001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7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Тегульдетский район, с. Тегульдет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08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9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70:13:0101002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A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Тегульдетский район, с. Тегульдет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0B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C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70:13:0101003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D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Тегульдетский район, с. Тегульдет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0E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F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70:14:0100007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д. Головина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11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70:14:0100009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3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д. Губино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14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5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70:14:0100012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6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д. Кудринский Участок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17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8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70:14:0100013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9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д. Кудринский Участок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1A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70:14:0104001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с. Калтай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1D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E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70:14:0104002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с. Калтай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20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70:14:0104003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с. Калтай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23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70:14:0105001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д. Кандинка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26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7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70:14:0105002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д. Кандинка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29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70:14:0107001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с. Кафтанчиково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2C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70:14:0110001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с. Курлек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2F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70:14:0110002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с. Курлек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32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70:14:0110003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с. Курлек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35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70:14:0110004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с. Курлек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38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70:14:0113001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д. Нелюбино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3B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70:14:0113002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д. Нелюбино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3E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70:14:0211003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окр. п. Копылово, СНТ «Вишенка»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41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70:14:0314001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город Томск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44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70:14:0337025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окр. с. Богашево, СНТ «Строитель»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47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70:14:0345007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Томский район, окр. с. Межениновка, СНТ «Мост»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4A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70:15:0101001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Чаинский район, с. Подгорное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4D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70:17:0000007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г. Асино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50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70:17:0000016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г. Асино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53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70:17:0000017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г. Асино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56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70:17:0000018</w:t>
            </w:r>
          </w:p>
        </w:tc>
        <w:tc>
          <w:tcPr>
            <w:tcW w:type="dxa" w:w="5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Асиновский район, г. Асино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59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70:21:0100070</w:t>
            </w:r>
          </w:p>
        </w:tc>
        <w:tc>
          <w:tcPr>
            <w:tcW w:type="dxa" w:w="5699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город Томск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5C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70:21:0100081</w:t>
            </w:r>
          </w:p>
        </w:tc>
        <w:tc>
          <w:tcPr>
            <w:tcW w:type="dxa" w:w="5699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город Томск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5F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70:21:0102001</w:t>
            </w:r>
          </w:p>
        </w:tc>
        <w:tc>
          <w:tcPr>
            <w:tcW w:type="dxa" w:w="5699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город Томск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62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70:21:0104002</w:t>
            </w:r>
          </w:p>
        </w:tc>
        <w:tc>
          <w:tcPr>
            <w:tcW w:type="dxa" w:w="5699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город Томск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  <w:tr>
        <w:trPr>
          <w:trHeight w:hRule="atLeast" w:val="312"/>
        </w:trPr>
        <w:tc>
          <w:tcPr>
            <w:tcW w:type="dxa" w:w="543"/>
            <w:vAlign w:val="center"/>
          </w:tcPr>
          <w:p w14:paraId="6501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type="dxa" w:w="1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10000">
            <w:pPr>
              <w:spacing w:after="120" w:before="120"/>
              <w:ind w:firstLine="0" w:left="120" w:right="12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70:21:0200011</w:t>
            </w:r>
          </w:p>
        </w:tc>
        <w:tc>
          <w:tcPr>
            <w:tcW w:type="dxa" w:w="5699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10000">
            <w:pPr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Российская Федерация, Томская область, город Томск</w:t>
            </w:r>
          </w:p>
        </w:tc>
        <w:tc>
          <w:tcPr>
            <w:tcW w:type="dxa" w:w="1769"/>
            <w:gridSpan w:val="1"/>
            <w:vMerge w:val="continue"/>
          </w:tcPr>
          <w:p/>
        </w:tc>
      </w:tr>
    </w:tbl>
    <w:p w14:paraId="68010000">
      <w:pPr>
        <w:spacing w:line="276" w:lineRule="auto"/>
        <w:ind w:right="5811"/>
        <w:rPr>
          <w:sz w:val="24"/>
        </w:rPr>
      </w:pPr>
    </w:p>
    <w:p w14:paraId="69010000">
      <w:pPr>
        <w:spacing w:line="276" w:lineRule="auto"/>
        <w:ind w:right="-1"/>
        <w:jc w:val="both"/>
        <w:rPr>
          <w:sz w:val="24"/>
        </w:rPr>
      </w:pPr>
      <w:r>
        <w:rPr>
          <w:sz w:val="24"/>
        </w:rPr>
        <w:t>Директор</w:t>
      </w:r>
    </w:p>
    <w:p w14:paraId="6A010000">
      <w:pPr>
        <w:spacing w:line="276" w:lineRule="auto"/>
        <w:ind w:right="-1"/>
        <w:jc w:val="both"/>
        <w:rPr>
          <w:sz w:val="24"/>
        </w:rPr>
      </w:pPr>
      <w:r>
        <w:rPr>
          <w:sz w:val="24"/>
        </w:rPr>
        <w:t>филиала ППК «</w:t>
      </w:r>
      <w:r>
        <w:rPr>
          <w:sz w:val="24"/>
        </w:rPr>
        <w:t>Роскадастр</w:t>
      </w:r>
      <w:r>
        <w:rPr>
          <w:sz w:val="24"/>
        </w:rPr>
        <w:t>»</w:t>
      </w:r>
    </w:p>
    <w:p w14:paraId="6B010000">
      <w:pPr>
        <w:spacing w:line="276" w:lineRule="auto"/>
        <w:ind w:right="-1"/>
        <w:jc w:val="both"/>
        <w:rPr>
          <w:sz w:val="24"/>
        </w:rPr>
      </w:pPr>
      <w:r>
        <w:rPr>
          <w:sz w:val="24"/>
        </w:rPr>
        <w:t xml:space="preserve">по </w:t>
      </w:r>
      <w:r>
        <w:rPr>
          <w:sz w:val="24"/>
        </w:rPr>
        <w:t xml:space="preserve">Томской </w:t>
      </w:r>
      <w:r>
        <w:rPr>
          <w:sz w:val="24"/>
        </w:rPr>
        <w:t>области</w:t>
      </w:r>
      <w:r>
        <w:rPr>
          <w:sz w:val="24"/>
        </w:rPr>
        <w:t xml:space="preserve">                            </w:t>
      </w:r>
      <w:r>
        <w:rPr>
          <w:sz w:val="24"/>
        </w:rPr>
        <w:t xml:space="preserve">                                                                      </w:t>
      </w:r>
      <w:r>
        <w:rPr>
          <w:sz w:val="24"/>
        </w:rPr>
        <w:t>Файт</w:t>
      </w:r>
      <w:r>
        <w:rPr>
          <w:sz w:val="24"/>
        </w:rPr>
        <w:t xml:space="preserve"> В.К.</w:t>
      </w:r>
      <w:r>
        <w:rPr>
          <w:sz w:val="24"/>
        </w:rPr>
        <w:t xml:space="preserve">                 </w:t>
      </w:r>
    </w:p>
    <w:p w14:paraId="6C010000">
      <w:pPr>
        <w:spacing w:line="276" w:lineRule="auto"/>
        <w:ind w:right="-1"/>
        <w:jc w:val="both"/>
        <w:rPr>
          <w:sz w:val="24"/>
        </w:rPr>
      </w:pPr>
    </w:p>
    <w:p w14:paraId="6D010000">
      <w:pPr>
        <w:spacing w:line="276" w:lineRule="auto"/>
        <w:ind w:right="-1"/>
        <w:jc w:val="both"/>
        <w:rPr>
          <w:sz w:val="24"/>
        </w:rPr>
      </w:pPr>
      <w:r>
        <w:rPr>
          <w:sz w:val="24"/>
        </w:rPr>
        <w:t xml:space="preserve"> </w:t>
      </w:r>
    </w:p>
    <w:sectPr>
      <w:headerReference r:id="rId1" w:type="default"/>
      <w:pgSz w:h="16840" w:orient="portrait" w:w="11907"/>
      <w:pgMar w:bottom="709" w:footer="397" w:gutter="0" w:header="397" w:left="1134" w:right="851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tabs>
        <w:tab w:leader="none" w:pos="4153" w:val="clear"/>
        <w:tab w:leader="none" w:pos="8306" w:val="clear"/>
      </w:tabs>
      <w:ind/>
      <w:jc w:val="right"/>
      <w:rPr>
        <w:b w:val="1"/>
        <w:sz w:val="14"/>
      </w:rPr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ind w:firstLine="0" w:left="200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ind w:firstLine="0" w:left="600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ind w:firstLine="0" w:left="1000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ind w:firstLine="0" w:left="1200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heading 3"/>
    <w:next w:val="Style_6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5" w:type="paragraph">
    <w:name w:val="HTML Preformatted"/>
    <w:basedOn w:val="Style_6"/>
    <w:link w:val="Style_5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</w:rPr>
  </w:style>
  <w:style w:styleId="Style_5_ch" w:type="character">
    <w:name w:val="HTML Preformatted"/>
    <w:basedOn w:val="Style_6_ch"/>
    <w:link w:val="Style_5"/>
    <w:rPr>
      <w:rFonts w:ascii="Courier New" w:hAnsi="Courier New"/>
    </w:rPr>
  </w:style>
  <w:style w:styleId="Style_12" w:type="paragraph">
    <w:name w:val="Знак сноски1"/>
    <w:link w:val="Style_12_ch"/>
    <w:rPr>
      <w:vertAlign w:val="superscript"/>
    </w:rPr>
  </w:style>
  <w:style w:styleId="Style_12_ch" w:type="character">
    <w:name w:val="Знак сноски1"/>
    <w:link w:val="Style_12"/>
    <w:rPr>
      <w:vertAlign w:val="superscript"/>
    </w:rPr>
  </w:style>
  <w:style w:styleId="Style_13" w:type="paragraph">
    <w:name w:val="Знак концевой сноски1"/>
    <w:link w:val="Style_13_ch"/>
    <w:rPr>
      <w:vertAlign w:val="superscript"/>
    </w:rPr>
  </w:style>
  <w:style w:styleId="Style_13_ch" w:type="character">
    <w:name w:val="Знак концевой сноски1"/>
    <w:link w:val="Style_13"/>
    <w:rPr>
      <w:vertAlign w:val="superscript"/>
    </w:rPr>
  </w:style>
  <w:style w:styleId="Style_1" w:type="paragraph">
    <w:name w:val="header"/>
    <w:basedOn w:val="Style_6"/>
    <w:link w:val="Style_1_ch"/>
    <w:pPr>
      <w:tabs>
        <w:tab w:leader="none" w:pos="4153" w:val="center"/>
        <w:tab w:leader="none" w:pos="8306" w:val="right"/>
      </w:tabs>
      <w:ind/>
    </w:pPr>
  </w:style>
  <w:style w:styleId="Style_1_ch" w:type="character">
    <w:name w:val="header"/>
    <w:basedOn w:val="Style_6_ch"/>
    <w:link w:val="Style_1"/>
  </w:style>
  <w:style w:styleId="Style_4" w:type="paragraph">
    <w:name w:val="Гиперссылка1"/>
    <w:link w:val="Style_4_ch"/>
    <w:rPr>
      <w:color w:val="0000FF"/>
      <w:u w:val="single"/>
    </w:rPr>
  </w:style>
  <w:style w:styleId="Style_4_ch" w:type="character">
    <w:name w:val="Гиперссылка1"/>
    <w:link w:val="Style_4"/>
    <w:rPr>
      <w:color w:val="0000FF"/>
      <w:u w:val="single"/>
    </w:rPr>
  </w:style>
  <w:style w:styleId="Style_14" w:type="paragraph">
    <w:name w:val="endnote text"/>
    <w:basedOn w:val="Style_6"/>
    <w:link w:val="Style_14_ch"/>
  </w:style>
  <w:style w:styleId="Style_14_ch" w:type="character">
    <w:name w:val="endnote text"/>
    <w:basedOn w:val="Style_6_ch"/>
    <w:link w:val="Style_14"/>
  </w:style>
  <w:style w:styleId="Style_15" w:type="paragraph">
    <w:name w:val="toc 3"/>
    <w:next w:val="Style_6"/>
    <w:link w:val="Style_15_ch"/>
    <w:uiPriority w:val="39"/>
    <w:pPr>
      <w:ind w:firstLine="0" w:left="400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Balloon Text"/>
    <w:basedOn w:val="Style_6"/>
    <w:link w:val="Style_16_ch"/>
    <w:rPr>
      <w:rFonts w:ascii="Segoe UI" w:hAnsi="Segoe UI"/>
      <w:sz w:val="18"/>
    </w:rPr>
  </w:style>
  <w:style w:styleId="Style_16_ch" w:type="character">
    <w:name w:val="Balloon Text"/>
    <w:basedOn w:val="Style_6_ch"/>
    <w:link w:val="Style_16"/>
    <w:rPr>
      <w:rFonts w:ascii="Segoe UI" w:hAnsi="Segoe UI"/>
      <w:sz w:val="18"/>
    </w:rPr>
  </w:style>
  <w:style w:styleId="Style_17" w:type="paragraph">
    <w:name w:val="heading 5"/>
    <w:next w:val="Style_6"/>
    <w:link w:val="Style_17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heading 1"/>
    <w:basedOn w:val="Style_6"/>
    <w:next w:val="Style_6"/>
    <w:link w:val="Style_18_ch"/>
    <w:uiPriority w:val="9"/>
    <w:qFormat/>
    <w:pPr>
      <w:keepNext w:val="1"/>
      <w:spacing w:after="60" w:before="240"/>
      <w:ind/>
      <w:outlineLvl w:val="0"/>
    </w:pPr>
    <w:rPr>
      <w:rFonts w:ascii="Calibri Light" w:hAnsi="Calibri Light"/>
      <w:b w:val="1"/>
      <w:sz w:val="32"/>
    </w:rPr>
  </w:style>
  <w:style w:styleId="Style_18_ch" w:type="character">
    <w:name w:val="heading 1"/>
    <w:basedOn w:val="Style_6_ch"/>
    <w:link w:val="Style_18"/>
    <w:rPr>
      <w:rFonts w:ascii="Calibri Light" w:hAnsi="Calibri Light"/>
      <w:b w:val="1"/>
      <w:sz w:val="32"/>
    </w:rPr>
  </w:style>
  <w:style w:styleId="Style_19" w:type="paragraph">
    <w:name w:val="List Paragraph"/>
    <w:basedOn w:val="Style_6"/>
    <w:link w:val="Style_19_ch"/>
    <w:pPr>
      <w:ind w:firstLine="0" w:left="720"/>
      <w:contextualSpacing w:val="1"/>
    </w:pPr>
    <w:rPr>
      <w:sz w:val="24"/>
    </w:rPr>
  </w:style>
  <w:style w:styleId="Style_19_ch" w:type="character">
    <w:name w:val="List Paragraph"/>
    <w:basedOn w:val="Style_6_ch"/>
    <w:link w:val="Style_19"/>
    <w:rPr>
      <w:sz w:val="24"/>
    </w:rPr>
  </w:style>
  <w:style w:styleId="Style_20" w:type="paragraph">
    <w:name w:val="Normal (Web)"/>
    <w:basedOn w:val="Style_6"/>
    <w:link w:val="Style_20_ch"/>
    <w:pPr>
      <w:spacing w:afterAutospacing="on" w:beforeAutospacing="on"/>
      <w:ind/>
    </w:pPr>
    <w:rPr>
      <w:sz w:val="24"/>
    </w:rPr>
  </w:style>
  <w:style w:styleId="Style_20_ch" w:type="character">
    <w:name w:val="Normal (Web)"/>
    <w:basedOn w:val="Style_6_ch"/>
    <w:link w:val="Style_20"/>
    <w:rPr>
      <w:sz w:val="24"/>
    </w:rPr>
  </w:style>
  <w:style w:styleId="Style_21" w:type="paragraph">
    <w:name w:val="Hyperlink"/>
    <w:link w:val="Style_21_ch"/>
    <w:rPr>
      <w:color w:val="0000FF"/>
      <w:u w:val="single"/>
    </w:rPr>
  </w:style>
  <w:style w:styleId="Style_21_ch" w:type="character">
    <w:name w:val="Hyperlink"/>
    <w:link w:val="Style_21"/>
    <w:rPr>
      <w:color w:val="0000FF"/>
      <w:u w:val="single"/>
    </w:rPr>
  </w:style>
  <w:style w:styleId="Style_22" w:type="paragraph">
    <w:name w:val="Footnote"/>
    <w:basedOn w:val="Style_6"/>
    <w:link w:val="Style_22_ch"/>
  </w:style>
  <w:style w:styleId="Style_22_ch" w:type="character">
    <w:name w:val="Footnote"/>
    <w:basedOn w:val="Style_6_ch"/>
    <w:link w:val="Style_22"/>
  </w:style>
  <w:style w:styleId="Style_23" w:type="paragraph">
    <w:name w:val="toc 1"/>
    <w:next w:val="Style_6"/>
    <w:link w:val="Style_23_ch"/>
    <w:uiPriority w:val="39"/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ind/>
      <w:jc w:val="both"/>
    </w:pPr>
    <w:rPr>
      <w:rFonts w:ascii="XO Thames" w:hAnsi="XO Thames"/>
    </w:rPr>
  </w:style>
  <w:style w:styleId="Style_24_ch" w:type="character">
    <w:name w:val="Header and Footer"/>
    <w:link w:val="Style_24"/>
    <w:rPr>
      <w:rFonts w:ascii="XO Thames" w:hAnsi="XO Thames"/>
    </w:rPr>
  </w:style>
  <w:style w:styleId="Style_25" w:type="paragraph">
    <w:name w:val="Строгий1"/>
    <w:link w:val="Style_25_ch"/>
    <w:rPr>
      <w:b w:val="1"/>
    </w:rPr>
  </w:style>
  <w:style w:styleId="Style_25_ch" w:type="character">
    <w:name w:val="Строгий1"/>
    <w:link w:val="Style_25"/>
    <w:rPr>
      <w:b w:val="1"/>
    </w:rPr>
  </w:style>
  <w:style w:styleId="Style_26" w:type="paragraph">
    <w:name w:val="toc 9"/>
    <w:next w:val="Style_6"/>
    <w:link w:val="Style_26_ch"/>
    <w:uiPriority w:val="39"/>
    <w:pPr>
      <w:ind w:firstLine="0" w:left="1600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Основной шрифт абзаца1"/>
    <w:link w:val="Style_27_ch"/>
  </w:style>
  <w:style w:styleId="Style_27_ch" w:type="character">
    <w:name w:val="Основной шрифт абзаца1"/>
    <w:link w:val="Style_27"/>
  </w:style>
  <w:style w:styleId="Style_28" w:type="paragraph">
    <w:name w:val="Default Paragraph Font"/>
    <w:link w:val="Style_28_ch"/>
  </w:style>
  <w:style w:styleId="Style_28_ch" w:type="character">
    <w:name w:val="Default Paragraph Font"/>
    <w:link w:val="Style_28"/>
  </w:style>
  <w:style w:styleId="Style_29" w:type="paragraph">
    <w:name w:val="toc 8"/>
    <w:next w:val="Style_6"/>
    <w:link w:val="Style_29_ch"/>
    <w:uiPriority w:val="39"/>
    <w:pPr>
      <w:ind w:firstLine="0" w:left="1400"/>
    </w:pPr>
    <w:rPr>
      <w:rFonts w:ascii="XO Thames" w:hAnsi="XO Thames"/>
      <w:sz w:val="28"/>
    </w:rPr>
  </w:style>
  <w:style w:styleId="Style_29_ch" w:type="character">
    <w:name w:val="toc 8"/>
    <w:link w:val="Style_29"/>
    <w:rPr>
      <w:rFonts w:ascii="XO Thames" w:hAnsi="XO Thames"/>
      <w:sz w:val="28"/>
    </w:rPr>
  </w:style>
  <w:style w:styleId="Style_30" w:type="paragraph">
    <w:name w:val="Обычный1"/>
    <w:link w:val="Style_30_ch"/>
  </w:style>
  <w:style w:styleId="Style_30_ch" w:type="character">
    <w:name w:val="Обычный1"/>
    <w:link w:val="Style_30"/>
  </w:style>
  <w:style w:styleId="Style_31" w:type="paragraph">
    <w:name w:val="toc 5"/>
    <w:next w:val="Style_6"/>
    <w:link w:val="Style_31_ch"/>
    <w:uiPriority w:val="39"/>
    <w:pPr>
      <w:ind w:firstLine="0" w:left="800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Subtitle"/>
    <w:next w:val="Style_6"/>
    <w:link w:val="Style_3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2_ch" w:type="character">
    <w:name w:val="Subtitle"/>
    <w:link w:val="Style_32"/>
    <w:rPr>
      <w:rFonts w:ascii="XO Thames" w:hAnsi="XO Thames"/>
      <w:i w:val="1"/>
      <w:sz w:val="24"/>
    </w:rPr>
  </w:style>
  <w:style w:styleId="Style_33" w:type="paragraph">
    <w:name w:val="Title"/>
    <w:next w:val="Style_6"/>
    <w:link w:val="Style_3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3_ch" w:type="character">
    <w:name w:val="Title"/>
    <w:link w:val="Style_33"/>
    <w:rPr>
      <w:rFonts w:ascii="XO Thames" w:hAnsi="XO Thames"/>
      <w:b w:val="1"/>
      <w:caps w:val="1"/>
      <w:sz w:val="40"/>
    </w:rPr>
  </w:style>
  <w:style w:styleId="Style_34" w:type="paragraph">
    <w:name w:val="heading 4"/>
    <w:next w:val="Style_6"/>
    <w:link w:val="Style_3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4_ch" w:type="character">
    <w:name w:val="heading 4"/>
    <w:link w:val="Style_34"/>
    <w:rPr>
      <w:rFonts w:ascii="XO Thames" w:hAnsi="XO Thames"/>
      <w:b w:val="1"/>
      <w:sz w:val="24"/>
    </w:rPr>
  </w:style>
  <w:style w:styleId="Style_35" w:type="paragraph">
    <w:name w:val="footer"/>
    <w:basedOn w:val="Style_6"/>
    <w:link w:val="Style_35_ch"/>
    <w:pPr>
      <w:tabs>
        <w:tab w:leader="none" w:pos="4153" w:val="center"/>
        <w:tab w:leader="none" w:pos="8306" w:val="right"/>
      </w:tabs>
      <w:ind/>
    </w:pPr>
  </w:style>
  <w:style w:styleId="Style_35_ch" w:type="character">
    <w:name w:val="footer"/>
    <w:basedOn w:val="Style_6_ch"/>
    <w:link w:val="Style_35"/>
  </w:style>
  <w:style w:styleId="Style_36" w:type="paragraph">
    <w:name w:val="heading 2"/>
    <w:next w:val="Style_6"/>
    <w:link w:val="Style_3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6_ch" w:type="character">
    <w:name w:val="heading 2"/>
    <w:link w:val="Style_36"/>
    <w:rPr>
      <w:rFonts w:ascii="XO Thames" w:hAnsi="XO Thames"/>
      <w:b w:val="1"/>
      <w:sz w:val="28"/>
    </w:rPr>
  </w:style>
  <w:style w:styleId="Style_3" w:type="table">
    <w:name w:val="Table Grid"/>
    <w:basedOn w:val="Style_2"/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MyOffice-CoreFramework-Windows/26-1013.725.7203.647.3@RELEASE-DESKTOP-YERBA-RC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2026-02-19T05:06:15Z</dcterms:modified>
</cp:coreProperties>
</file>