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спорта Томской области от 29.01.2025 N 4</w:t>
              <w:br/>
              <w:t xml:space="preserve">(ред. от 01.04.2025)</w:t>
              <w:br/>
              <w:t xml:space="preserve">"Об утверждении Административного регламента предоставления государственной услуги "Присвоение квалификационных категорий спортивных судей"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02.09.2025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СПОРТА 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29 января 2025 г. N 4</w:t>
      </w:r>
    </w:p>
    <w:p>
      <w:pPr>
        <w:pStyle w:val="2"/>
        <w:jc w:val="both"/>
      </w:pPr>
      <w:r>
        <w:rPr>
          <w:sz w:val="24"/>
        </w:rPr>
      </w:r>
    </w:p>
    <w:p>
      <w:pPr>
        <w:pStyle w:val="2"/>
        <w:jc w:val="center"/>
      </w:pPr>
      <w:r>
        <w:rPr>
          <w:sz w:val="24"/>
        </w:rPr>
        <w:t xml:space="preserve">ОБ УТВЕРЖДЕНИИ АДМИНИСТРАТИВНОГО РЕГЛАМЕНТА ПРЕДОСТАВЛЕНИЯ</w:t>
      </w:r>
    </w:p>
    <w:p>
      <w:pPr>
        <w:pStyle w:val="2"/>
        <w:jc w:val="center"/>
      </w:pPr>
      <w:r>
        <w:rPr>
          <w:sz w:val="24"/>
        </w:rPr>
        <w:t xml:space="preserve">ГОСУДАРСТВЕННОЙ УСЛУГИ "ПРИСВОЕНИЕ КВАЛИФИКАЦИОННЫХ</w:t>
      </w:r>
    </w:p>
    <w:p>
      <w:pPr>
        <w:pStyle w:val="2"/>
        <w:jc w:val="center"/>
      </w:pPr>
      <w:r>
        <w:rPr>
          <w:sz w:val="24"/>
        </w:rPr>
        <w:t xml:space="preserve">КАТЕГОРИЙ СПОРТИВНЫХ СУДЕЙ"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спорта Томской области</w:t>
            </w:r>
          </w:p>
          <w:p>
            <w:pPr>
              <w:pStyle w:val="0"/>
              <w:jc w:val="center"/>
            </w:pPr>
            <w:r>
              <w:rPr>
                <w:sz w:val="24"/>
                <w:color w:val="392c69"/>
              </w:rPr>
              <w:t xml:space="preserve">от 01.04.2025 N 18)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Федеральным </w:t>
      </w:r>
      <w:r>
        <w:rPr>
          <w:sz w:val="24"/>
        </w:rPr>
        <w:t xml:space="preserve">законом</w:t>
      </w:r>
      <w:r>
        <w:rPr>
          <w:sz w:val="24"/>
        </w:rPr>
        <w:t xml:space="preserve"> от 27 июля 2010 года N 210-ФЗ "Об организации предоставления государственных и муниципальных услуг", </w:t>
      </w:r>
      <w:r>
        <w:rPr>
          <w:sz w:val="24"/>
        </w:rPr>
        <w:t xml:space="preserve">постановлением</w:t>
      </w:r>
      <w:r>
        <w:rPr>
          <w:sz w:val="24"/>
        </w:rPr>
        <w:t xml:space="preserve"> Администрации Томской области от 04.03.2024 N 65а "О разработке и утверждении административных регламентов предоставления государственных услуг Томской области" приказываю:</w:t>
      </w:r>
    </w:p>
    <w:p>
      <w:pPr>
        <w:pStyle w:val="0"/>
        <w:spacing w:before="240" w:line-rule="auto"/>
        <w:ind w:firstLine="540"/>
        <w:jc w:val="both"/>
      </w:pPr>
      <w:r>
        <w:rPr>
          <w:sz w:val="24"/>
        </w:rPr>
        <w:t xml:space="preserve">1. Утвердить Административный </w:t>
      </w:r>
      <w:hyperlink w:history="0" w:anchor="P37" w:tooltip="АДМИНИСТРАТИВНЫЙ РЕГЛАМЕНТ">
        <w:r>
          <w:rPr>
            <w:sz w:val="24"/>
            <w:color w:val="0000ff"/>
          </w:rPr>
          <w:t xml:space="preserve">регламент</w:t>
        </w:r>
      </w:hyperlink>
      <w:r>
        <w:rPr>
          <w:sz w:val="24"/>
        </w:rPr>
        <w:t xml:space="preserve"> предоставления государственной услуги "Присвоение квалификационных категорий спортивных судей" согласно приложению к настоящему приказу.</w:t>
      </w:r>
    </w:p>
    <w:p>
      <w:pPr>
        <w:pStyle w:val="0"/>
        <w:spacing w:before="240" w:line-rule="auto"/>
        <w:ind w:firstLine="540"/>
        <w:jc w:val="both"/>
      </w:pPr>
      <w:r>
        <w:rPr>
          <w:sz w:val="24"/>
        </w:rPr>
        <w:t xml:space="preserve">2. Главному специалисту комитета физической культуры, спорта и цифрового развития Департамента спорта Томской области:</w:t>
      </w:r>
    </w:p>
    <w:p>
      <w:pPr>
        <w:pStyle w:val="0"/>
        <w:spacing w:before="240" w:line-rule="auto"/>
        <w:ind w:firstLine="540"/>
        <w:jc w:val="both"/>
      </w:pPr>
      <w:r>
        <w:rPr>
          <w:sz w:val="24"/>
        </w:rPr>
        <w:t xml:space="preserve">1) осуществлять исполнение Административного регламента предоставления государственной услуги "Присвоение квалификационных категорий спортивных судей" в соответствии с настоящим приказом;</w:t>
      </w:r>
    </w:p>
    <w:p>
      <w:pPr>
        <w:pStyle w:val="0"/>
        <w:spacing w:before="240" w:line-rule="auto"/>
        <w:ind w:firstLine="540"/>
        <w:jc w:val="both"/>
      </w:pPr>
      <w:r>
        <w:rPr>
          <w:sz w:val="24"/>
        </w:rPr>
        <w:t xml:space="preserve">2) обеспечить размещение настоящего приказа на официальном сайте Департамента спорта Томской области в информационно-телекоммуникационной сети "Интернет" (далее - сайт Департамента), а также в местах ожидания посетителей, обратившихся за получением государственной услуги не позднее 7 рабочих дней после его подписания.</w:t>
      </w:r>
    </w:p>
    <w:p>
      <w:pPr>
        <w:pStyle w:val="0"/>
        <w:spacing w:before="240" w:line-rule="auto"/>
        <w:ind w:firstLine="540"/>
        <w:jc w:val="both"/>
      </w:pPr>
      <w:r>
        <w:rPr>
          <w:sz w:val="24"/>
        </w:rPr>
        <w:t xml:space="preserve">3. Признать утратившими силу приказы Департамента по молодежной политике, физической культуре и спорту Томской области:</w:t>
      </w:r>
    </w:p>
    <w:p>
      <w:pPr>
        <w:pStyle w:val="0"/>
        <w:spacing w:before="240" w:line-rule="auto"/>
        <w:ind w:firstLine="540"/>
        <w:jc w:val="both"/>
      </w:pPr>
      <w:r>
        <w:rPr>
          <w:sz w:val="24"/>
        </w:rPr>
        <w:t xml:space="preserve">от 16.04.2019 </w:t>
      </w:r>
      <w:r>
        <w:rPr>
          <w:sz w:val="24"/>
        </w:rPr>
        <w:t xml:space="preserve">N 7</w:t>
      </w:r>
      <w:r>
        <w:rPr>
          <w:sz w:val="24"/>
        </w:rPr>
        <w:t xml:space="preserve"> "Об утверждении Административного регламента предоставления государственной услуги "Присвоение спортивных разрядов "Кандидат в мастера спорта", "первый спортивный разряд" и квалификационной категории спортивного судьи "спортивный судья первой категории" (Официальный интернет-портал правовой информации, www.pravo.gov.ru, 16.04.2019 N 7001201904160006);</w:t>
      </w:r>
    </w:p>
    <w:p>
      <w:pPr>
        <w:pStyle w:val="0"/>
        <w:spacing w:before="240" w:line-rule="auto"/>
        <w:ind w:firstLine="540"/>
        <w:jc w:val="both"/>
      </w:pPr>
      <w:r>
        <w:rPr>
          <w:sz w:val="24"/>
        </w:rPr>
        <w:t xml:space="preserve">от 06.11.2019 </w:t>
      </w:r>
      <w:r>
        <w:rPr>
          <w:sz w:val="24"/>
        </w:rPr>
        <w:t xml:space="preserve">N 15</w:t>
      </w:r>
      <w:r>
        <w:rPr>
          <w:sz w:val="24"/>
        </w:rPr>
        <w:t xml:space="preserve"> "О внесении изменений в приказ Департамента по молодежной политике, физической культуре и спорту Томской области от 16.04.2019 N 7" (Официальный интернет-портал правовой информации, www.pravo.gov.ru, 07.11.2029 N 7001201911070002);</w:t>
      </w:r>
    </w:p>
    <w:p>
      <w:pPr>
        <w:pStyle w:val="0"/>
        <w:spacing w:before="240" w:line-rule="auto"/>
        <w:ind w:firstLine="540"/>
        <w:jc w:val="both"/>
      </w:pPr>
      <w:r>
        <w:rPr>
          <w:sz w:val="24"/>
        </w:rPr>
        <w:t xml:space="preserve">от 20.10.2021 </w:t>
      </w:r>
      <w:r>
        <w:rPr>
          <w:sz w:val="24"/>
        </w:rPr>
        <w:t xml:space="preserve">N 14</w:t>
      </w:r>
      <w:r>
        <w:rPr>
          <w:sz w:val="24"/>
        </w:rPr>
        <w:t xml:space="preserve"> "О внесении изменений в приказ Департамента по молодежной политике, физической культуре и спорту Томской области от 16.04.2019 N 7 "Об утверждении Административного регламента предоставления государственной услуги "Присвоение спортивных разрядов "Кандидат в мастера спорта", "первый спортивный разряд" и квалификационной категории спортивного судьи "спортивный судья первой категории" (Официальный интернет-портал правовой информации, www.pravo.gov.ru, 20.10.2021 N 7001202110200001).</w:t>
      </w:r>
    </w:p>
    <w:p>
      <w:pPr>
        <w:pStyle w:val="0"/>
        <w:spacing w:before="240" w:line-rule="auto"/>
        <w:ind w:firstLine="540"/>
        <w:jc w:val="both"/>
      </w:pPr>
      <w:r>
        <w:rPr>
          <w:sz w:val="24"/>
        </w:rPr>
        <w:t xml:space="preserve">4. Контроль за исполнением настоящего приказа оставляю за собой.</w:t>
      </w:r>
    </w:p>
    <w:p>
      <w:pPr>
        <w:pStyle w:val="0"/>
        <w:spacing w:before="240" w:line-rule="auto"/>
        <w:ind w:firstLine="540"/>
        <w:jc w:val="both"/>
      </w:pPr>
      <w:r>
        <w:rPr>
          <w:sz w:val="24"/>
        </w:rPr>
        <w:t xml:space="preserve">5. Настоящий приказ вступает в силу со дня его официального опубликования.</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М.В.МАКСИМОВ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спорта Томской области</w:t>
      </w:r>
    </w:p>
    <w:p>
      <w:pPr>
        <w:pStyle w:val="0"/>
        <w:jc w:val="right"/>
      </w:pPr>
      <w:r>
        <w:rPr>
          <w:sz w:val="24"/>
        </w:rPr>
        <w:t xml:space="preserve">от 29.01.2025 N 4</w:t>
      </w:r>
    </w:p>
    <w:p>
      <w:pPr>
        <w:pStyle w:val="0"/>
        <w:jc w:val="both"/>
      </w:pPr>
      <w:r>
        <w:rPr>
          <w:sz w:val="24"/>
        </w:rPr>
      </w:r>
    </w:p>
    <w:bookmarkStart w:id="37" w:name="P37"/>
    <w:bookmarkEnd w:id="37"/>
    <w:p>
      <w:pPr>
        <w:pStyle w:val="2"/>
        <w:jc w:val="center"/>
      </w:pPr>
      <w:r>
        <w:rPr>
          <w:sz w:val="24"/>
        </w:rPr>
        <w:t xml:space="preserve">АДМИНИСТРАТИВНЫЙ РЕГЛАМЕНТ</w:t>
      </w:r>
    </w:p>
    <w:p>
      <w:pPr>
        <w:pStyle w:val="2"/>
        <w:jc w:val="center"/>
      </w:pPr>
      <w:r>
        <w:rPr>
          <w:sz w:val="24"/>
        </w:rPr>
        <w:t xml:space="preserve">ПРЕДОСТАВЛЕНИЯ ГОСУДАРСТВЕННОЙ УСЛУГИ "ПРИСВОЕНИЕ</w:t>
      </w:r>
    </w:p>
    <w:p>
      <w:pPr>
        <w:pStyle w:val="2"/>
        <w:jc w:val="center"/>
      </w:pPr>
      <w:r>
        <w:rPr>
          <w:sz w:val="24"/>
        </w:rPr>
        <w:t xml:space="preserve">КВАЛИФИКАЦИОННЫХ КАТЕГОРИЙ СПОРТИВНЫХ СУДЕЙ"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спорта Томской области</w:t>
            </w:r>
          </w:p>
          <w:p>
            <w:pPr>
              <w:pStyle w:val="0"/>
              <w:jc w:val="center"/>
            </w:pPr>
            <w:r>
              <w:rPr>
                <w:sz w:val="24"/>
                <w:color w:val="392c69"/>
              </w:rPr>
              <w:t xml:space="preserve">от 01.04.2025 N 18)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Административный регламент предоставления государственной услуги "Присвоение квалификационных категорий спортивных судей" (далее - Регламент) разработан в целях повышения качества обеспечения информацией, открытости и доступности предоставления государственной услуги, создания комфортных условий для ее получателей, и определяет сроки и последовательность действий (административных процедур) при предоставлении Департаментом спорта Томской области (далее - Департамент) государственной услуги по присвоению квалификационной категории спортивного судьи "спортивный судья первой категории" (далее - государственная услуга).</w:t>
      </w:r>
    </w:p>
    <w:p>
      <w:pPr>
        <w:pStyle w:val="0"/>
        <w:spacing w:before="240" w:line-rule="auto"/>
        <w:ind w:firstLine="540"/>
        <w:jc w:val="both"/>
      </w:pPr>
      <w:r>
        <w:rPr>
          <w:sz w:val="24"/>
        </w:rPr>
        <w:t xml:space="preserve">2. Регламент предоставления государственной услуги разработан Департаментом на основании </w:t>
      </w:r>
      <w:r>
        <w:rPr>
          <w:sz w:val="24"/>
        </w:rPr>
        <w:t xml:space="preserve">части 1 статьи 13</w:t>
      </w:r>
      <w:r>
        <w:rPr>
          <w:sz w:val="24"/>
        </w:rPr>
        <w:t xml:space="preserve"> Федерального закона от 27 июля 2010 года N 210-ФЗ "Об организации предоставления государственных и муниципальных услуг", а также </w:t>
      </w:r>
      <w:r>
        <w:rPr>
          <w:sz w:val="24"/>
        </w:rPr>
        <w:t xml:space="preserve">распоряжения</w:t>
      </w:r>
      <w:r>
        <w:rPr>
          <w:sz w:val="24"/>
        </w:rPr>
        <w:t xml:space="preserve"> Администрации Томской области от 16.05.2013 N 393-ра "Об утверждении Перечня государственных услуг, предоставляемых исполнительными органами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bookmarkStart w:id="48" w:name="P48"/>
    <w:bookmarkEnd w:id="48"/>
    <w:p>
      <w:pPr>
        <w:pStyle w:val="0"/>
        <w:spacing w:before="240" w:line-rule="auto"/>
        <w:ind w:firstLine="540"/>
        <w:jc w:val="both"/>
      </w:pPr>
      <w:r>
        <w:rPr>
          <w:sz w:val="24"/>
        </w:rPr>
        <w:t xml:space="preserve">3. Заявителями на предоставление государственной услуги являются региональные спортивные федерации или подразделения федерального органа, по месту территориальной сферы деятельности региональной спортивной федерации или по месту нахождения подразделения федерального органа, физкультурно-спортивной организации, включенной в перечень на основании </w:t>
      </w:r>
      <w:r>
        <w:rPr>
          <w:sz w:val="24"/>
        </w:rPr>
        <w:t xml:space="preserve">приказа</w:t>
      </w:r>
      <w:r>
        <w:rPr>
          <w:sz w:val="24"/>
        </w:rPr>
        <w:t xml:space="preserve"> Министерства спорта Российской Федерации от 24.01.2024 N 36 "Об утверждении перечня отдельных официальных спортивных соревнований, проводимых по правилам видов спорта, разработанным физкультурно-спортивными организациями, утвержденным Минспортом России, и таких физкультурно-спортивных организаций".</w:t>
      </w:r>
    </w:p>
    <w:p>
      <w:pPr>
        <w:pStyle w:val="0"/>
        <w:spacing w:before="240" w:line-rule="auto"/>
        <w:ind w:firstLine="540"/>
        <w:jc w:val="both"/>
      </w:pPr>
      <w:r>
        <w:rPr>
          <w:sz w:val="24"/>
        </w:rPr>
        <w:t xml:space="preserve">4. Информация о предоставлении государственной услуги предоставляется:</w:t>
      </w:r>
    </w:p>
    <w:p>
      <w:pPr>
        <w:pStyle w:val="0"/>
        <w:spacing w:before="240" w:line-rule="auto"/>
        <w:ind w:firstLine="540"/>
        <w:jc w:val="both"/>
      </w:pPr>
      <w:r>
        <w:rPr>
          <w:sz w:val="24"/>
        </w:rPr>
        <w:t xml:space="preserve">1) по месту нахождения Департамента: 634029, г. Томск, ул. Герцена, д. 8:</w:t>
      </w:r>
    </w:p>
    <w:p>
      <w:pPr>
        <w:pStyle w:val="0"/>
        <w:spacing w:before="240" w:line-rule="auto"/>
        <w:ind w:firstLine="540"/>
        <w:jc w:val="both"/>
      </w:pPr>
      <w:r>
        <w:rPr>
          <w:sz w:val="24"/>
        </w:rPr>
        <w:t xml:space="preserve">понедельник с 09:00 до 18:00 час.;</w:t>
      </w:r>
    </w:p>
    <w:p>
      <w:pPr>
        <w:pStyle w:val="0"/>
        <w:spacing w:before="240" w:line-rule="auto"/>
        <w:ind w:firstLine="540"/>
        <w:jc w:val="both"/>
      </w:pPr>
      <w:r>
        <w:rPr>
          <w:sz w:val="24"/>
        </w:rPr>
        <w:t xml:space="preserve">вторник - четверг с 08:45 до 18:00 час.;</w:t>
      </w:r>
    </w:p>
    <w:p>
      <w:pPr>
        <w:pStyle w:val="0"/>
        <w:spacing w:before="240" w:line-rule="auto"/>
        <w:ind w:firstLine="540"/>
        <w:jc w:val="both"/>
      </w:pPr>
      <w:r>
        <w:rPr>
          <w:sz w:val="24"/>
        </w:rPr>
        <w:t xml:space="preserve">пятница с 08:45 до 17:00 час.;</w:t>
      </w:r>
    </w:p>
    <w:p>
      <w:pPr>
        <w:pStyle w:val="0"/>
        <w:spacing w:before="240" w:line-rule="auto"/>
        <w:ind w:firstLine="540"/>
        <w:jc w:val="both"/>
      </w:pPr>
      <w:r>
        <w:rPr>
          <w:sz w:val="24"/>
        </w:rPr>
        <w:t xml:space="preserve">перерыв для отдыха и питания с 12:30 до 13:30 час.;</w:t>
      </w:r>
    </w:p>
    <w:p>
      <w:pPr>
        <w:pStyle w:val="0"/>
        <w:spacing w:before="240" w:line-rule="auto"/>
        <w:ind w:firstLine="540"/>
        <w:jc w:val="both"/>
      </w:pPr>
      <w:r>
        <w:rPr>
          <w:sz w:val="24"/>
        </w:rPr>
        <w:t xml:space="preserve">выходные дни: суббота и воскресенье;</w:t>
      </w:r>
    </w:p>
    <w:p>
      <w:pPr>
        <w:pStyle w:val="0"/>
        <w:spacing w:before="240" w:line-rule="auto"/>
        <w:ind w:firstLine="540"/>
        <w:jc w:val="both"/>
      </w:pPr>
      <w:r>
        <w:rPr>
          <w:sz w:val="24"/>
        </w:rPr>
        <w:t xml:space="preserve">2) на официальном сайте Департамента в информационно-телекоммуникационной сети "Интернет" (далее - сети "Интернет"): http://sport.tomsk.gov.ru, в федеральной государственной информационной системе "Единый портал государственных и муниципальных услуг (функций)" (далее - Портал) по адресу в сети "Интернет": www.gosuslugi.ru;</w:t>
      </w:r>
    </w:p>
    <w:p>
      <w:pPr>
        <w:pStyle w:val="0"/>
        <w:spacing w:before="240" w:line-rule="auto"/>
        <w:ind w:firstLine="540"/>
        <w:jc w:val="both"/>
      </w:pPr>
      <w:r>
        <w:rPr>
          <w:sz w:val="24"/>
        </w:rPr>
        <w:t xml:space="preserve">3) по адресу электронной почты Департамента: dep-sport@tomsk.gov.ru.</w:t>
      </w:r>
    </w:p>
    <w:p>
      <w:pPr>
        <w:pStyle w:val="0"/>
        <w:spacing w:before="240" w:line-rule="auto"/>
        <w:ind w:firstLine="540"/>
        <w:jc w:val="both"/>
      </w:pPr>
      <w:r>
        <w:rPr>
          <w:sz w:val="24"/>
        </w:rPr>
        <w:t xml:space="preserve">5. На Портале, сайте Департамента размещается следующая информация о предоставлении государственной услуги:</w:t>
      </w:r>
    </w:p>
    <w:p>
      <w:pPr>
        <w:pStyle w:val="0"/>
        <w:spacing w:before="240" w:line-rule="auto"/>
        <w:ind w:firstLine="540"/>
        <w:jc w:val="both"/>
      </w:pPr>
      <w:r>
        <w:rPr>
          <w:sz w:val="24"/>
        </w:rPr>
        <w:t xml:space="preserve">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pPr>
        <w:pStyle w:val="0"/>
        <w:spacing w:before="240" w:line-rule="auto"/>
        <w:ind w:firstLine="540"/>
        <w:jc w:val="both"/>
      </w:pPr>
      <w:r>
        <w:rPr>
          <w:sz w:val="24"/>
        </w:rPr>
        <w:t xml:space="preserve">2) круг заявителей;</w:t>
      </w:r>
    </w:p>
    <w:p>
      <w:pPr>
        <w:pStyle w:val="0"/>
        <w:spacing w:before="240" w:line-rule="auto"/>
        <w:ind w:firstLine="540"/>
        <w:jc w:val="both"/>
      </w:pPr>
      <w:r>
        <w:rPr>
          <w:sz w:val="24"/>
        </w:rPr>
        <w:t xml:space="preserve">3) срок предоставления государственной услуги;</w:t>
      </w:r>
    </w:p>
    <w:p>
      <w:pPr>
        <w:pStyle w:val="0"/>
        <w:spacing w:before="240" w:line-rule="auto"/>
        <w:ind w:firstLine="540"/>
        <w:jc w:val="both"/>
      </w:pPr>
      <w:r>
        <w:rPr>
          <w:sz w:val="24"/>
        </w:rPr>
        <w:t xml:space="preserve">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pPr>
        <w:pStyle w:val="0"/>
        <w:spacing w:before="240" w:line-rule="auto"/>
        <w:ind w:firstLine="540"/>
        <w:jc w:val="both"/>
      </w:pPr>
      <w:r>
        <w:rPr>
          <w:sz w:val="24"/>
        </w:rPr>
        <w:t xml:space="preserve">5) исчерпывающий перечень оснований для приостановления или отказа в предоставлении государственной услуги;</w:t>
      </w:r>
    </w:p>
    <w:p>
      <w:pPr>
        <w:pStyle w:val="0"/>
        <w:spacing w:before="240" w:line-rule="auto"/>
        <w:ind w:firstLine="540"/>
        <w:jc w:val="both"/>
      </w:pPr>
      <w:r>
        <w:rPr>
          <w:sz w:val="24"/>
        </w:rPr>
        <w:t xml:space="preserve">6) о порядке досудебного (внесудебного) обжалования действий (бездействия) и решений, принятых (осуществляемых) в ходе предоставления государственной услуги;</w:t>
      </w:r>
    </w:p>
    <w:p>
      <w:pPr>
        <w:pStyle w:val="0"/>
        <w:spacing w:before="240" w:line-rule="auto"/>
        <w:ind w:firstLine="540"/>
        <w:jc w:val="both"/>
      </w:pPr>
      <w:r>
        <w:rPr>
          <w:sz w:val="24"/>
        </w:rPr>
        <w:t xml:space="preserve">7) формы заявлений (уведомлений, сообщений), используемые при предоставлении государственной услуги.</w:t>
      </w:r>
    </w:p>
    <w:p>
      <w:pPr>
        <w:pStyle w:val="0"/>
        <w:spacing w:before="240" w:line-rule="auto"/>
        <w:ind w:firstLine="540"/>
        <w:jc w:val="both"/>
      </w:pPr>
      <w:r>
        <w:rPr>
          <w:sz w:val="24"/>
        </w:rPr>
        <w:t xml:space="preserve">Информация на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pStyle w:val="0"/>
        <w:spacing w:before="240" w:line-rule="auto"/>
        <w:ind w:firstLine="540"/>
        <w:jc w:val="both"/>
      </w:pPr>
      <w:r>
        <w:rPr>
          <w:sz w:val="24"/>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pStyle w:val="0"/>
        <w:spacing w:before="240" w:line-rule="auto"/>
        <w:ind w:firstLine="540"/>
        <w:jc w:val="both"/>
      </w:pPr>
      <w:r>
        <w:rPr>
          <w:sz w:val="24"/>
        </w:rPr>
        <w:t xml:space="preserve">Также информацию по вопросам предоставления государственной услуги можно получить:</w:t>
      </w:r>
    </w:p>
    <w:p>
      <w:pPr>
        <w:pStyle w:val="0"/>
        <w:spacing w:before="240" w:line-rule="auto"/>
        <w:ind w:firstLine="540"/>
        <w:jc w:val="both"/>
      </w:pPr>
      <w:r>
        <w:rPr>
          <w:sz w:val="24"/>
        </w:rPr>
        <w:t xml:space="preserve">посредством личного обращения в часы приема;</w:t>
      </w:r>
    </w:p>
    <w:p>
      <w:pPr>
        <w:pStyle w:val="0"/>
        <w:spacing w:before="240" w:line-rule="auto"/>
        <w:ind w:firstLine="540"/>
        <w:jc w:val="both"/>
      </w:pPr>
      <w:r>
        <w:rPr>
          <w:sz w:val="24"/>
        </w:rPr>
        <w:t xml:space="preserve">по телефону главного специалиста комитета физической культуры, спорта и цифрового развития, ответственного за предоставление государственной услуги: (3822) 53-16-44;</w:t>
      </w:r>
    </w:p>
    <w:p>
      <w:pPr>
        <w:pStyle w:val="0"/>
        <w:spacing w:before="240" w:line-rule="auto"/>
        <w:ind w:firstLine="540"/>
        <w:jc w:val="both"/>
      </w:pPr>
      <w:r>
        <w:rPr>
          <w:sz w:val="24"/>
        </w:rPr>
        <w:t xml:space="preserve">при обращении в многофункциональный центр (в случае заключения соглашения о взаимодействии).</w:t>
      </w:r>
    </w:p>
    <w:p>
      <w:pPr>
        <w:pStyle w:val="0"/>
        <w:spacing w:before="240" w:line-rule="auto"/>
        <w:ind w:firstLine="540"/>
        <w:jc w:val="both"/>
      </w:pPr>
      <w:r>
        <w:rPr>
          <w:sz w:val="24"/>
        </w:rPr>
        <w:t xml:space="preserve">6. Консультации о предоставлении государственной услуги предоставляются по следующим вопросам:</w:t>
      </w:r>
    </w:p>
    <w:p>
      <w:pPr>
        <w:pStyle w:val="0"/>
        <w:spacing w:before="240" w:line-rule="auto"/>
        <w:ind w:firstLine="540"/>
        <w:jc w:val="both"/>
      </w:pPr>
      <w:r>
        <w:rPr>
          <w:sz w:val="24"/>
        </w:rPr>
        <w:t xml:space="preserve">1) перечень документов, необходимых для предоставления государственной услуги, комплектности (достаточности) представленных документов;</w:t>
      </w:r>
    </w:p>
    <w:p>
      <w:pPr>
        <w:pStyle w:val="0"/>
        <w:spacing w:before="240" w:line-rule="auto"/>
        <w:ind w:firstLine="540"/>
        <w:jc w:val="both"/>
      </w:pPr>
      <w:r>
        <w:rPr>
          <w:sz w:val="24"/>
        </w:rPr>
        <w:t xml:space="preserve">2) источник получения документов, необходимых для предоставления государственной услуги (орган, организация и их местонахождение);</w:t>
      </w:r>
    </w:p>
    <w:p>
      <w:pPr>
        <w:pStyle w:val="0"/>
        <w:spacing w:before="240" w:line-rule="auto"/>
        <w:ind w:firstLine="540"/>
        <w:jc w:val="both"/>
      </w:pPr>
      <w:r>
        <w:rPr>
          <w:sz w:val="24"/>
        </w:rPr>
        <w:t xml:space="preserve">3) время приема и выдачи документов;</w:t>
      </w:r>
    </w:p>
    <w:p>
      <w:pPr>
        <w:pStyle w:val="0"/>
        <w:spacing w:before="240" w:line-rule="auto"/>
        <w:ind w:firstLine="540"/>
        <w:jc w:val="both"/>
      </w:pPr>
      <w:r>
        <w:rPr>
          <w:sz w:val="24"/>
        </w:rPr>
        <w:t xml:space="preserve">4) сроки подачи документов, необходимых для предоставления государственной услуги;</w:t>
      </w:r>
    </w:p>
    <w:p>
      <w:pPr>
        <w:pStyle w:val="0"/>
        <w:spacing w:before="240" w:line-rule="auto"/>
        <w:ind w:firstLine="540"/>
        <w:jc w:val="both"/>
      </w:pPr>
      <w:r>
        <w:rPr>
          <w:sz w:val="24"/>
        </w:rPr>
        <w:t xml:space="preserve">5) срок предоставления государственной услуги;</w:t>
      </w:r>
    </w:p>
    <w:p>
      <w:pPr>
        <w:pStyle w:val="0"/>
        <w:spacing w:before="240" w:line-rule="auto"/>
        <w:ind w:firstLine="540"/>
        <w:jc w:val="both"/>
      </w:pPr>
      <w:r>
        <w:rPr>
          <w:sz w:val="24"/>
        </w:rPr>
        <w:t xml:space="preserve">6) порядок обжалования действий (бездействия) и решений, осуществляемых и принимаемых в ходе предоставления государственной услуги.</w:t>
      </w:r>
    </w:p>
    <w:p>
      <w:pPr>
        <w:pStyle w:val="0"/>
        <w:jc w:val="both"/>
      </w:pPr>
      <w:r>
        <w:rPr>
          <w:sz w:val="24"/>
        </w:rPr>
      </w:r>
    </w:p>
    <w:p>
      <w:pPr>
        <w:pStyle w:val="2"/>
        <w:outlineLvl w:val="1"/>
        <w:jc w:val="center"/>
      </w:pPr>
      <w:r>
        <w:rPr>
          <w:sz w:val="24"/>
        </w:rPr>
        <w:t xml:space="preserve">2. Стандарт предоставления государственной услуги</w:t>
      </w:r>
    </w:p>
    <w:p>
      <w:pPr>
        <w:pStyle w:val="0"/>
        <w:jc w:val="both"/>
      </w:pPr>
      <w:r>
        <w:rPr>
          <w:sz w:val="24"/>
        </w:rPr>
      </w:r>
    </w:p>
    <w:p>
      <w:pPr>
        <w:pStyle w:val="0"/>
        <w:ind w:firstLine="540"/>
        <w:jc w:val="both"/>
      </w:pPr>
      <w:r>
        <w:rPr>
          <w:sz w:val="24"/>
        </w:rPr>
        <w:t xml:space="preserve">7. Наименование государственной услуги: "Присвоение квалификационных категорий спортивных судей".</w:t>
      </w:r>
    </w:p>
    <w:p>
      <w:pPr>
        <w:pStyle w:val="0"/>
        <w:spacing w:before="240" w:line-rule="auto"/>
        <w:ind w:firstLine="540"/>
        <w:jc w:val="both"/>
      </w:pPr>
      <w:r>
        <w:rPr>
          <w:sz w:val="24"/>
        </w:rPr>
        <w:t xml:space="preserve">8. Наименование органа, предоставляющего государственную услугу: Департамент спорта Томской области.</w:t>
      </w:r>
    </w:p>
    <w:p>
      <w:pPr>
        <w:pStyle w:val="0"/>
        <w:spacing w:before="240" w:line-rule="auto"/>
        <w:ind w:firstLine="540"/>
        <w:jc w:val="both"/>
      </w:pPr>
      <w:r>
        <w:rPr>
          <w:sz w:val="24"/>
        </w:rPr>
        <w:t xml:space="preserve">9. Результат предоставления государственной услуги:</w:t>
      </w:r>
    </w:p>
    <w:p>
      <w:pPr>
        <w:pStyle w:val="0"/>
        <w:spacing w:before="240" w:line-rule="auto"/>
        <w:ind w:firstLine="540"/>
        <w:jc w:val="both"/>
      </w:pPr>
      <w:r>
        <w:rPr>
          <w:sz w:val="24"/>
        </w:rPr>
        <w:t xml:space="preserve">1) присвоение судейской категории;</w:t>
      </w:r>
    </w:p>
    <w:p>
      <w:pPr>
        <w:pStyle w:val="0"/>
        <w:spacing w:before="240" w:line-rule="auto"/>
        <w:ind w:firstLine="540"/>
        <w:jc w:val="both"/>
      </w:pPr>
      <w:r>
        <w:rPr>
          <w:sz w:val="24"/>
        </w:rPr>
        <w:t xml:space="preserve">2) отказ в присвоении судейской категории;</w:t>
      </w:r>
    </w:p>
    <w:p>
      <w:pPr>
        <w:pStyle w:val="0"/>
        <w:spacing w:before="240" w:line-rule="auto"/>
        <w:ind w:firstLine="540"/>
        <w:jc w:val="both"/>
      </w:pPr>
      <w:r>
        <w:rPr>
          <w:sz w:val="24"/>
        </w:rPr>
        <w:t xml:space="preserve">10. Общий срок предоставления государственной услуги 32 рабочих дня со дня обращения заявителя в Департамент.</w:t>
      </w:r>
    </w:p>
    <w:p>
      <w:pPr>
        <w:pStyle w:val="0"/>
        <w:spacing w:before="240" w:line-rule="auto"/>
        <w:ind w:firstLine="540"/>
        <w:jc w:val="both"/>
      </w:pPr>
      <w:r>
        <w:rPr>
          <w:sz w:val="24"/>
        </w:rPr>
        <w:t xml:space="preserve">Срок предоставления государственной услуги в случае обращения за ее предоставлением в МФЦ увеличивается на число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МФЦ.</w:t>
      </w:r>
    </w:p>
    <w:p>
      <w:pPr>
        <w:pStyle w:val="0"/>
        <w:spacing w:before="240" w:line-rule="auto"/>
        <w:ind w:firstLine="540"/>
        <w:jc w:val="both"/>
      </w:pPr>
      <w:r>
        <w:rPr>
          <w:sz w:val="24"/>
        </w:rPr>
        <w:t xml:space="preserve">Сроки прохождения отдельных административных процедур (действий) содержатся в </w:t>
      </w:r>
      <w:hyperlink w:history="0" w:anchor="P163" w:tooltip="3. Состав, последовательность и сроки выполнения">
        <w:r>
          <w:rPr>
            <w:sz w:val="24"/>
            <w:color w:val="0000ff"/>
          </w:rPr>
          <w:t xml:space="preserve">разделе 3</w:t>
        </w:r>
      </w:hyperlink>
      <w:r>
        <w:rPr>
          <w:sz w:val="24"/>
        </w:rPr>
        <w:t xml:space="preserve"> Регламента.</w:t>
      </w:r>
    </w:p>
    <w:p>
      <w:pPr>
        <w:pStyle w:val="0"/>
        <w:spacing w:before="240" w:line-rule="auto"/>
        <w:ind w:firstLine="540"/>
        <w:jc w:val="both"/>
      </w:pPr>
      <w:r>
        <w:rPr>
          <w:sz w:val="24"/>
        </w:rPr>
        <w:t xml:space="preserve">11. Правовые основания для предоставления государственной услуги:</w:t>
      </w:r>
    </w:p>
    <w:p>
      <w:pPr>
        <w:pStyle w:val="0"/>
        <w:spacing w:before="240" w:line-rule="auto"/>
        <w:ind w:firstLine="540"/>
        <w:jc w:val="both"/>
      </w:pPr>
      <w:r>
        <w:rPr>
          <w:sz w:val="24"/>
        </w:rPr>
        <w:t xml:space="preserve">Федеральный </w:t>
      </w:r>
      <w:r>
        <w:rPr>
          <w:sz w:val="24"/>
        </w:rPr>
        <w:t xml:space="preserve">закон</w:t>
      </w:r>
      <w:r>
        <w:rPr>
          <w:sz w:val="24"/>
        </w:rPr>
        <w:t xml:space="preserve"> Российской Федерации от 27 июля 2010 года N 210-ФЗ "Об организации предоставления государственных и муниципальных услуг";</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27 июля 2006 года N 152-ФЗ "О персональных данных";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27 июля 2010 года N 210-ФЗ "Об организации предоставления государственных и муниципальных услуг";</w:t>
      </w:r>
    </w:p>
    <w:p>
      <w:pPr>
        <w:pStyle w:val="0"/>
        <w:spacing w:before="240" w:line-rule="auto"/>
        <w:ind w:firstLine="540"/>
        <w:jc w:val="both"/>
      </w:pPr>
      <w:r>
        <w:rPr>
          <w:sz w:val="24"/>
        </w:rPr>
        <w:t xml:space="preserve">Закон</w:t>
      </w:r>
      <w:r>
        <w:rPr>
          <w:sz w:val="24"/>
        </w:rPr>
        <w:t xml:space="preserve"> Томской области от 7 июня 2010 года N 94-ОЗ "О физической культуре и спорте в Томской области";</w:t>
      </w:r>
    </w:p>
    <w:p>
      <w:pPr>
        <w:pStyle w:val="0"/>
        <w:spacing w:before="240" w:line-rule="auto"/>
        <w:ind w:firstLine="540"/>
        <w:jc w:val="both"/>
      </w:pPr>
      <w:r>
        <w:rPr>
          <w:sz w:val="24"/>
        </w:rPr>
        <w:t xml:space="preserve">Приказ</w:t>
      </w:r>
      <w:r>
        <w:rPr>
          <w:sz w:val="24"/>
        </w:rPr>
        <w:t xml:space="preserve"> Министерства спорта Российской Федерации от 28.02.2017 N 134 "Об утверждении положения о спортивных судьях" (далее - Положение о спортивных судьях).</w:t>
      </w:r>
    </w:p>
    <w:bookmarkStart w:id="96" w:name="P96"/>
    <w:bookmarkEnd w:id="96"/>
    <w:p>
      <w:pPr>
        <w:pStyle w:val="0"/>
        <w:spacing w:before="240" w:line-rule="auto"/>
        <w:ind w:firstLine="540"/>
        <w:jc w:val="both"/>
      </w:pPr>
      <w:r>
        <w:rPr>
          <w:sz w:val="24"/>
        </w:rPr>
        <w:t xml:space="preserve">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pPr>
        <w:pStyle w:val="0"/>
        <w:spacing w:before="240" w:line-rule="auto"/>
        <w:ind w:firstLine="540"/>
        <w:jc w:val="both"/>
      </w:pPr>
      <w:r>
        <w:rPr>
          <w:sz w:val="24"/>
        </w:rPr>
        <w:t xml:space="preserve">Исчерпывающий перечень документов, необходимых для предоставления государственной услуги, которые заявитель должен представить самостоятельно:</w:t>
      </w:r>
    </w:p>
    <w:p>
      <w:pPr>
        <w:pStyle w:val="0"/>
        <w:spacing w:before="240" w:line-rule="auto"/>
        <w:ind w:firstLine="540"/>
        <w:jc w:val="both"/>
      </w:pPr>
      <w:r>
        <w:rPr>
          <w:sz w:val="24"/>
        </w:rPr>
        <w:t xml:space="preserve">а) </w:t>
      </w:r>
      <w:hyperlink w:history="0" w:anchor="P263" w:tooltip="Представление">
        <w:r>
          <w:rPr>
            <w:sz w:val="24"/>
            <w:color w:val="0000ff"/>
          </w:rPr>
          <w:t xml:space="preserve">представление</w:t>
        </w:r>
      </w:hyperlink>
      <w:r>
        <w:rPr>
          <w:sz w:val="24"/>
        </w:rPr>
        <w:t xml:space="preserve"> к присвоению квалификационной категории спортивного судьи "спортивный судья первой категории" по форме согласно Приложению N 1 к настоящему Регламенту.</w:t>
      </w:r>
    </w:p>
    <w:p>
      <w:pPr>
        <w:pStyle w:val="0"/>
        <w:spacing w:before="240" w:line-rule="auto"/>
        <w:ind w:firstLine="540"/>
        <w:jc w:val="both"/>
      </w:pPr>
      <w:r>
        <w:rPr>
          <w:sz w:val="24"/>
        </w:rPr>
        <w:t xml:space="preserve">Форма представления к присвоению квалификационной категории спортивного судьи доступна для копирования на Портале, на официальном сайте Департамента в информационно-телекоммуникационной сети "Интернет", либо отправляется по обращению заявителя на адрес его электронной почты;</w:t>
      </w:r>
    </w:p>
    <w:p>
      <w:pPr>
        <w:pStyle w:val="0"/>
        <w:spacing w:before="240" w:line-rule="auto"/>
        <w:ind w:firstLine="540"/>
        <w:jc w:val="both"/>
      </w:pPr>
      <w:r>
        <w:rPr>
          <w:sz w:val="24"/>
        </w:rPr>
        <w:t xml:space="preserve">б) заверенная печатью (при наличии, в случае, когда обязанность использовать печать предусмотрена федеральным законодательством) и подписью руководителя или уполномоченного должностного лица региональной спортивной федерации, физкультурно-спортивной организации, включенной в перечень подразделения федерального органа или должностного лица копия </w:t>
      </w:r>
      <w:hyperlink w:history="0" w:anchor="P334" w:tooltip="Карточка учета судейской деятельности спортивного судьи">
        <w:r>
          <w:rPr>
            <w:sz w:val="24"/>
            <w:color w:val="0000ff"/>
          </w:rPr>
          <w:t xml:space="preserve">карточки</w:t>
        </w:r>
      </w:hyperlink>
      <w:r>
        <w:rPr>
          <w:sz w:val="24"/>
        </w:rPr>
        <w:t xml:space="preserve"> учета согласно Приложению N 2 к настоящему Регламенту;</w:t>
      </w:r>
    </w:p>
    <w:p>
      <w:pPr>
        <w:pStyle w:val="0"/>
        <w:spacing w:before="240" w:line-rule="auto"/>
        <w:ind w:firstLine="540"/>
        <w:jc w:val="both"/>
      </w:pPr>
      <w:r>
        <w:rPr>
          <w:sz w:val="24"/>
        </w:rPr>
        <w:t xml:space="preserve">в) документ, удостоверяющий личность гражданина;</w:t>
      </w:r>
    </w:p>
    <w:p>
      <w:pPr>
        <w:pStyle w:val="0"/>
        <w:spacing w:before="240" w:line-rule="auto"/>
        <w:ind w:firstLine="540"/>
        <w:jc w:val="both"/>
      </w:pPr>
      <w:r>
        <w:rPr>
          <w:sz w:val="24"/>
        </w:rPr>
        <w:t xml:space="preserve">г) копия удостоверения "мастер спорта России международного класса", "гроссмейстер России" или "мастер спорта России" для кандидатов, имеющих спортивное звание "мастер спорта России международного класса", "гроссмейстер России" или "мастер спорта России" по соответствующему виду спорта при условии отсутствия второй судейской категории (далее - Документы).</w:t>
      </w:r>
    </w:p>
    <w:p>
      <w:pPr>
        <w:pStyle w:val="0"/>
        <w:spacing w:before="240" w:line-rule="auto"/>
        <w:ind w:firstLine="540"/>
        <w:jc w:val="both"/>
      </w:pPr>
      <w:r>
        <w:rPr>
          <w:sz w:val="24"/>
        </w:rPr>
        <w:t xml:space="preserve">13. Документы, которые заявитель вправе представить по собственной инициативе:</w:t>
      </w:r>
    </w:p>
    <w:p>
      <w:pPr>
        <w:pStyle w:val="0"/>
        <w:spacing w:before="240" w:line-rule="auto"/>
        <w:ind w:firstLine="540"/>
        <w:jc w:val="both"/>
      </w:pPr>
      <w:r>
        <w:rPr>
          <w:sz w:val="24"/>
        </w:rPr>
        <w:t xml:space="preserve">а) списки судейских коллегий, работающих на официальных физкультурных или спортивных мероприятиях, подтверждающие факт участия спортивного судьи в данных мероприятиях.</w:t>
      </w:r>
    </w:p>
    <w:p>
      <w:pPr>
        <w:pStyle w:val="0"/>
        <w:spacing w:before="240" w:line-rule="auto"/>
        <w:ind w:firstLine="540"/>
        <w:jc w:val="both"/>
      </w:pPr>
      <w:r>
        <w:rPr>
          <w:sz w:val="24"/>
        </w:rPr>
        <w:t xml:space="preserve">В случае если заявителем не представлены документы, специалист обеспечивает направление межведомственных запросов в органы и организации,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Томской области.</w:t>
      </w:r>
    </w:p>
    <w:bookmarkStart w:id="106" w:name="P106"/>
    <w:bookmarkEnd w:id="106"/>
    <w:p>
      <w:pPr>
        <w:pStyle w:val="0"/>
        <w:spacing w:before="240" w:line-rule="auto"/>
        <w:ind w:firstLine="540"/>
        <w:jc w:val="both"/>
      </w:pPr>
      <w:r>
        <w:rPr>
          <w:sz w:val="24"/>
        </w:rPr>
        <w:t xml:space="preserve">14. Перечень оснований для отказа в приеме документов, необходимых для предоставления государственной услуги:</w:t>
      </w:r>
    </w:p>
    <w:p>
      <w:pPr>
        <w:pStyle w:val="0"/>
        <w:spacing w:before="240" w:line-rule="auto"/>
        <w:ind w:firstLine="540"/>
        <w:jc w:val="both"/>
      </w:pPr>
      <w:r>
        <w:rPr>
          <w:sz w:val="24"/>
        </w:rPr>
        <w:t xml:space="preserve">1) предоставление заявителем документов на присвоение судейских категорий, присвоение которых не осуществляется Департаментом;</w:t>
      </w:r>
    </w:p>
    <w:p>
      <w:pPr>
        <w:pStyle w:val="0"/>
        <w:spacing w:before="240" w:line-rule="auto"/>
        <w:ind w:firstLine="540"/>
        <w:jc w:val="both"/>
      </w:pPr>
      <w:r>
        <w:rPr>
          <w:sz w:val="24"/>
        </w:rPr>
        <w:t xml:space="preserve">2) предоставление заявителем документов на присвоение судейских категорий с нарушением требований </w:t>
      </w:r>
      <w:hyperlink w:history="0" w:anchor="P48" w:tooltip="3. Заявителями на предоставление государственной услуги являются региональные спортивные федерации или подразделения федерального органа, по месту территориальной сферы деятельности региональной спортивной федерации или по месту нахождения подразделения федерального органа, физкультурно-спортивной организации, включенной в перечень на основании приказа Министерства спорта Российской Федерации от 24.01.2024 N 36 &quot;Об утверждении перечня отдельных официальных спортивных соревнований, проводимых по правилам ...">
        <w:r>
          <w:rPr>
            <w:sz w:val="24"/>
            <w:color w:val="0000ff"/>
          </w:rPr>
          <w:t xml:space="preserve">пункта 3</w:t>
        </w:r>
      </w:hyperlink>
      <w:r>
        <w:rPr>
          <w:sz w:val="24"/>
        </w:rPr>
        <w:t xml:space="preserve"> Регламента;</w:t>
      </w:r>
    </w:p>
    <w:p>
      <w:pPr>
        <w:pStyle w:val="0"/>
        <w:spacing w:before="240" w:line-rule="auto"/>
        <w:ind w:firstLine="540"/>
        <w:jc w:val="both"/>
      </w:pPr>
      <w:r>
        <w:rPr>
          <w:sz w:val="24"/>
        </w:rPr>
        <w:t xml:space="preserve">3) представление документов, указанных в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пункте 12</w:t>
        </w:r>
      </w:hyperlink>
      <w:r>
        <w:rPr>
          <w:sz w:val="24"/>
        </w:rPr>
        <w:t xml:space="preserve"> настоящего Регламента, не в полном объеме;</w:t>
      </w:r>
    </w:p>
    <w:p>
      <w:pPr>
        <w:pStyle w:val="0"/>
        <w:spacing w:before="240" w:line-rule="auto"/>
        <w:ind w:firstLine="540"/>
        <w:jc w:val="both"/>
      </w:pPr>
      <w:r>
        <w:rPr>
          <w:sz w:val="24"/>
        </w:rPr>
        <w:t xml:space="preserve">4) предоставление заявителем документов, содержащих повреждения, наличие которых не позволяет в полном объеме использовать информацию и сведения, отраженные в данных документах;</w:t>
      </w:r>
    </w:p>
    <w:p>
      <w:pPr>
        <w:pStyle w:val="0"/>
        <w:spacing w:before="240" w:line-rule="auto"/>
        <w:ind w:firstLine="540"/>
        <w:jc w:val="both"/>
      </w:pPr>
      <w:r>
        <w:rPr>
          <w:sz w:val="24"/>
        </w:rPr>
        <w:t xml:space="preserve">5) некорректное заполнение обязательных полей в форме представления (отсутствие заполнения, недостоверное, неполное либо неправильное, не соответствующее требованиям, установленным настоящим Регламентом, наличие грамматических ошибок);</w:t>
      </w:r>
    </w:p>
    <w:p>
      <w:pPr>
        <w:pStyle w:val="0"/>
        <w:spacing w:before="240" w:line-rule="auto"/>
        <w:ind w:firstLine="540"/>
        <w:jc w:val="both"/>
      </w:pPr>
      <w:r>
        <w:rPr>
          <w:sz w:val="24"/>
        </w:rPr>
        <w:t xml:space="preserve">6) нарушение срока подачи документов на присвоение судейской категории, предусмотренного Положением о спортивных судьях.</w:t>
      </w:r>
    </w:p>
    <w:p>
      <w:pPr>
        <w:pStyle w:val="0"/>
        <w:spacing w:before="240" w:line-rule="auto"/>
        <w:ind w:firstLine="540"/>
        <w:jc w:val="both"/>
      </w:pPr>
      <w:r>
        <w:rPr>
          <w:sz w:val="24"/>
        </w:rPr>
        <w:t xml:space="preserve">15. Основания для приостановления в предоставлении государственной услуги отсутствуют.</w:t>
      </w:r>
    </w:p>
    <w:p>
      <w:pPr>
        <w:pStyle w:val="0"/>
        <w:spacing w:before="240" w:line-rule="auto"/>
        <w:ind w:firstLine="540"/>
        <w:jc w:val="both"/>
      </w:pPr>
      <w:r>
        <w:rPr>
          <w:sz w:val="24"/>
        </w:rPr>
        <w:t xml:space="preserve">16. Перечень оснований для отказа в предоставлении государственной услуги:</w:t>
      </w:r>
    </w:p>
    <w:p>
      <w:pPr>
        <w:pStyle w:val="0"/>
        <w:spacing w:before="240" w:line-rule="auto"/>
        <w:ind w:firstLine="540"/>
        <w:jc w:val="both"/>
      </w:pPr>
      <w:r>
        <w:rPr>
          <w:sz w:val="24"/>
        </w:rPr>
        <w:t xml:space="preserve">а) выявление недостоверных сведений в документах для присвоения квалификационной категории;</w:t>
      </w:r>
    </w:p>
    <w:p>
      <w:pPr>
        <w:pStyle w:val="0"/>
        <w:spacing w:before="240" w:line-rule="auto"/>
        <w:ind w:firstLine="540"/>
        <w:jc w:val="both"/>
      </w:pPr>
      <w:r>
        <w:rPr>
          <w:sz w:val="24"/>
        </w:rPr>
        <w:t xml:space="preserve">б) невыполнение Квалификационных требований по видам спорта к кандидатам на присвоение квалификационной категории спортивных судей "спортивный судья первой категории", утвержденных Министерством спорта Российской Федерации.</w:t>
      </w:r>
    </w:p>
    <w:p>
      <w:pPr>
        <w:pStyle w:val="0"/>
        <w:spacing w:before="240" w:line-rule="auto"/>
        <w:ind w:firstLine="540"/>
        <w:jc w:val="both"/>
      </w:pPr>
      <w:r>
        <w:rPr>
          <w:sz w:val="24"/>
        </w:rPr>
        <w:t xml:space="preserve">17. Предоставление государственной услуги осуществляется бесплатно.</w:t>
      </w:r>
    </w:p>
    <w:p>
      <w:pPr>
        <w:pStyle w:val="0"/>
        <w:spacing w:before="240" w:line-rule="auto"/>
        <w:ind w:firstLine="540"/>
        <w:jc w:val="both"/>
      </w:pPr>
      <w:r>
        <w:rPr>
          <w:sz w:val="24"/>
        </w:rPr>
        <w:t xml:space="preserve">18. Главному специалисту, комитета физической культуры, спорта и цифрового развития Департамента, ответственному за предоставление государственной услуги запрещается:</w:t>
      </w:r>
    </w:p>
    <w:p>
      <w:pPr>
        <w:pStyle w:val="0"/>
        <w:spacing w:before="240" w:line-rule="auto"/>
        <w:ind w:firstLine="540"/>
        <w:jc w:val="both"/>
      </w:pPr>
      <w:r>
        <w:rPr>
          <w:sz w:val="24"/>
        </w:rPr>
        <w:t xml:space="preserve">отказывать в приеме документов, необходимых для предоставления государственной услуги, в случае, если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Портале;</w:t>
      </w:r>
    </w:p>
    <w:p>
      <w:pPr>
        <w:pStyle w:val="0"/>
        <w:spacing w:before="240" w:line-rule="auto"/>
        <w:ind w:firstLine="540"/>
        <w:jc w:val="both"/>
      </w:pPr>
      <w:r>
        <w:rPr>
          <w:sz w:val="24"/>
        </w:rPr>
        <w:t xml:space="preserve">отказывать в предоставлении государственной услуги в случае, если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Портале;</w:t>
      </w:r>
    </w:p>
    <w:p>
      <w:pPr>
        <w:pStyle w:val="0"/>
        <w:spacing w:before="240" w:line-rule="auto"/>
        <w:ind w:firstLine="540"/>
        <w:jc w:val="both"/>
      </w:pPr>
      <w:r>
        <w:rPr>
          <w:sz w:val="24"/>
        </w:rPr>
        <w:t xml:space="preserve">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pPr>
        <w:pStyle w:val="0"/>
        <w:spacing w:before="240" w:line-rule="auto"/>
        <w:ind w:firstLine="540"/>
        <w:jc w:val="both"/>
      </w:pPr>
      <w:r>
        <w:rPr>
          <w:sz w:val="24"/>
        </w:rPr>
        <w:t xml:space="preserve">требовать от заявителя предоставления документов, подтверждающих внесение заявителем платы за предоставление государственной услуги.</w:t>
      </w:r>
    </w:p>
    <w:p>
      <w:pPr>
        <w:pStyle w:val="0"/>
        <w:spacing w:before="240" w:line-rule="auto"/>
        <w:ind w:firstLine="540"/>
        <w:jc w:val="both"/>
      </w:pPr>
      <w:r>
        <w:rPr>
          <w:sz w:val="24"/>
        </w:rPr>
        <w:t xml:space="preserve">19. Для предоставления государственной услуги в электронном виде заявитель подает заявление в электронном виде на Портале с приложением сканированных копий документов, указанных в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пункте 12</w:t>
        </w:r>
      </w:hyperlink>
      <w:r>
        <w:rPr>
          <w:sz w:val="24"/>
        </w:rPr>
        <w:t xml:space="preserve"> Регламента, в формате PDF.</w:t>
      </w:r>
    </w:p>
    <w:p>
      <w:pPr>
        <w:pStyle w:val="0"/>
        <w:spacing w:before="240" w:line-rule="auto"/>
        <w:ind w:firstLine="540"/>
        <w:jc w:val="both"/>
      </w:pPr>
      <w:r>
        <w:rPr>
          <w:sz w:val="24"/>
        </w:rPr>
        <w:t xml:space="preserve">20. Максимальный срок ожидания в очереди при подаче запроса о предоставлении государственной услуги: не более 15 минут.</w:t>
      </w:r>
    </w:p>
    <w:p>
      <w:pPr>
        <w:pStyle w:val="0"/>
        <w:spacing w:before="240" w:line-rule="auto"/>
        <w:ind w:firstLine="540"/>
        <w:jc w:val="both"/>
      </w:pPr>
      <w:r>
        <w:rPr>
          <w:sz w:val="24"/>
        </w:rPr>
        <w:t xml:space="preserve">21. Максимальный срок ожидания в очереди при получении результата предоставления государственной услуги: не более 15 минут.</w:t>
      </w:r>
    </w:p>
    <w:p>
      <w:pPr>
        <w:pStyle w:val="0"/>
        <w:spacing w:before="240" w:line-rule="auto"/>
        <w:ind w:firstLine="540"/>
        <w:jc w:val="both"/>
      </w:pPr>
      <w:r>
        <w:rPr>
          <w:sz w:val="24"/>
        </w:rPr>
        <w:t xml:space="preserve">22. Срок регистрации запроса о предоставлении государственной услуги: в течение одного рабочего дня, следующего за днем поступления запроса.</w:t>
      </w:r>
    </w:p>
    <w:p>
      <w:pPr>
        <w:pStyle w:val="0"/>
        <w:spacing w:before="240" w:line-rule="auto"/>
        <w:ind w:firstLine="540"/>
        <w:jc w:val="both"/>
      </w:pPr>
      <w:r>
        <w:rPr>
          <w:sz w:val="24"/>
        </w:rPr>
        <w:t xml:space="preserve">23. 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pPr>
        <w:pStyle w:val="0"/>
        <w:spacing w:before="240" w:line-rule="auto"/>
        <w:ind w:firstLine="540"/>
        <w:jc w:val="both"/>
      </w:pPr>
      <w:r>
        <w:rPr>
          <w:sz w:val="24"/>
        </w:rPr>
        <w:t xml:space="preserve">1) здание Департамента оборудовано отдельным входом для свободного доступа в помещение;</w:t>
      </w:r>
    </w:p>
    <w:p>
      <w:pPr>
        <w:pStyle w:val="0"/>
        <w:spacing w:before="240" w:line-rule="auto"/>
        <w:ind w:firstLine="540"/>
        <w:jc w:val="both"/>
      </w:pPr>
      <w:r>
        <w:rPr>
          <w:sz w:val="24"/>
        </w:rPr>
        <w:t xml:space="preserve">2) вход в здание оборудован информационной табличкой (вывеской) с указанием наименования Департамента;</w:t>
      </w:r>
    </w:p>
    <w:p>
      <w:pPr>
        <w:pStyle w:val="0"/>
        <w:spacing w:before="240" w:line-rule="auto"/>
        <w:ind w:firstLine="540"/>
        <w:jc w:val="both"/>
      </w:pPr>
      <w:r>
        <w:rPr>
          <w:sz w:val="24"/>
        </w:rPr>
        <w:t xml:space="preserve">3)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w:t>
      </w:r>
    </w:p>
    <w:p>
      <w:pPr>
        <w:pStyle w:val="0"/>
        <w:spacing w:before="240" w:line-rule="auto"/>
        <w:ind w:firstLine="540"/>
        <w:jc w:val="both"/>
      </w:pPr>
      <w:r>
        <w:rPr>
          <w:sz w:val="24"/>
        </w:rPr>
        <w:t xml:space="preserve">4) у входа в каждое из помещений Департамента размещается табличка с фамилией, именем, отчеством (при наличии последнего) и наименованием должности каждого специалиста;</w:t>
      </w:r>
    </w:p>
    <w:p>
      <w:pPr>
        <w:pStyle w:val="0"/>
        <w:spacing w:before="240" w:line-rule="auto"/>
        <w:ind w:firstLine="540"/>
        <w:jc w:val="both"/>
      </w:pPr>
      <w:r>
        <w:rPr>
          <w:sz w:val="24"/>
        </w:rPr>
        <w:t xml:space="preserve">5) помещения Департамента соответствуют санитарно-эпидемиологическим </w:t>
      </w:r>
      <w:r>
        <w:rPr>
          <w:sz w:val="24"/>
        </w:rPr>
        <w:t xml:space="preserve">правилам</w:t>
      </w:r>
      <w:r>
        <w:rPr>
          <w:sz w:val="24"/>
        </w:rPr>
        <w:t xml:space="preserve"> и нормативам "Санитарно-эпидемиологические требования к условиям труда" СП 2.2.3670-20;</w:t>
      </w:r>
    </w:p>
    <w:p>
      <w:pPr>
        <w:pStyle w:val="0"/>
        <w:spacing w:before="240" w:line-rule="auto"/>
        <w:ind w:firstLine="540"/>
        <w:jc w:val="both"/>
      </w:pPr>
      <w:r>
        <w:rPr>
          <w:sz w:val="24"/>
        </w:rPr>
        <w:t xml:space="preserve">6) присутственные места оборудованы:</w:t>
      </w:r>
    </w:p>
    <w:p>
      <w:pPr>
        <w:pStyle w:val="0"/>
        <w:spacing w:before="240" w:line-rule="auto"/>
        <w:ind w:firstLine="540"/>
        <w:jc w:val="both"/>
      </w:pPr>
      <w:r>
        <w:rPr>
          <w:sz w:val="24"/>
        </w:rPr>
        <w:t xml:space="preserve">системой кондиционирования воздуха;</w:t>
      </w:r>
    </w:p>
    <w:p>
      <w:pPr>
        <w:pStyle w:val="0"/>
        <w:spacing w:before="240" w:line-rule="auto"/>
        <w:ind w:firstLine="540"/>
        <w:jc w:val="both"/>
      </w:pPr>
      <w:r>
        <w:rPr>
          <w:sz w:val="24"/>
        </w:rPr>
        <w:t xml:space="preserve">противопожарной системой и средствами пожаротушения;</w:t>
      </w:r>
    </w:p>
    <w:p>
      <w:pPr>
        <w:pStyle w:val="0"/>
        <w:spacing w:before="240" w:line-rule="auto"/>
        <w:ind w:firstLine="540"/>
        <w:jc w:val="both"/>
      </w:pPr>
      <w:r>
        <w:rPr>
          <w:sz w:val="24"/>
        </w:rPr>
        <w:t xml:space="preserve">системой охраны;</w:t>
      </w:r>
    </w:p>
    <w:p>
      <w:pPr>
        <w:pStyle w:val="0"/>
        <w:spacing w:before="240" w:line-rule="auto"/>
        <w:ind w:firstLine="540"/>
        <w:jc w:val="both"/>
      </w:pPr>
      <w:r>
        <w:rPr>
          <w:sz w:val="24"/>
        </w:rPr>
        <w:t xml:space="preserve">7) места ожидания в очереди на предоставление или получение документов оборудованы скамьями.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pPr>
        <w:pStyle w:val="0"/>
        <w:spacing w:before="240" w:line-rule="auto"/>
        <w:ind w:firstLine="540"/>
        <w:jc w:val="both"/>
      </w:pPr>
      <w:r>
        <w:rPr>
          <w:sz w:val="24"/>
        </w:rPr>
        <w:t xml:space="preserve">8) прием заявителей осуществляется в специально оборудованных помещениях (кабинетах), где располагается главный специалист комитета физической культуры, спорта и цифрового развития, ответственный за предоставление государственной услуги;</w:t>
      </w:r>
    </w:p>
    <w:p>
      <w:pPr>
        <w:pStyle w:val="0"/>
        <w:spacing w:before="240" w:line-rule="auto"/>
        <w:ind w:firstLine="540"/>
        <w:jc w:val="both"/>
      </w:pPr>
      <w:r>
        <w:rPr>
          <w:sz w:val="24"/>
        </w:rPr>
        <w:t xml:space="preserve">9) места для заполнения документов оборудованы стульями, столами и обеспечиваются образцами заполнения документов, бланками заявлений и канцелярскими принадлежностями;</w:t>
      </w:r>
    </w:p>
    <w:p>
      <w:pPr>
        <w:pStyle w:val="0"/>
        <w:spacing w:before="240" w:line-rule="auto"/>
        <w:ind w:firstLine="540"/>
        <w:jc w:val="both"/>
      </w:pPr>
      <w:r>
        <w:rPr>
          <w:sz w:val="24"/>
        </w:rPr>
        <w:t xml:space="preserve">10) места информирования, предназначенные для ознакомления заявителей с информационными материалами, оборудованы информационными стендами;</w:t>
      </w:r>
    </w:p>
    <w:p>
      <w:pPr>
        <w:pStyle w:val="0"/>
        <w:spacing w:before="240" w:line-rule="auto"/>
        <w:ind w:firstLine="540"/>
        <w:jc w:val="both"/>
      </w:pPr>
      <w:r>
        <w:rPr>
          <w:sz w:val="24"/>
        </w:rPr>
        <w:t xml:space="preserve">11) на информационных стендах в Департаменте, а также сайте Департамента в сети "Интернет" размещается следующая информация:</w:t>
      </w:r>
    </w:p>
    <w:p>
      <w:pPr>
        <w:pStyle w:val="0"/>
        <w:spacing w:before="240" w:line-rule="auto"/>
        <w:ind w:firstLine="540"/>
        <w:jc w:val="both"/>
      </w:pPr>
      <w:r>
        <w:rPr>
          <w:sz w:val="24"/>
        </w:rPr>
        <w:t xml:space="preserve">11.1) текст Регламента с приложениями на сайте Департамента и извлечения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 12</w:t>
        </w:r>
      </w:hyperlink>
      <w:r>
        <w:rPr>
          <w:sz w:val="24"/>
        </w:rPr>
        <w:t xml:space="preserve"> Регламента) на информационных стендах;</w:t>
      </w:r>
    </w:p>
    <w:p>
      <w:pPr>
        <w:pStyle w:val="0"/>
        <w:spacing w:before="240" w:line-rule="auto"/>
        <w:ind w:firstLine="540"/>
        <w:jc w:val="both"/>
      </w:pPr>
      <w:r>
        <w:rPr>
          <w:sz w:val="24"/>
        </w:rPr>
        <w:t xml:space="preserve">11.2) образец заполнения формы заявления и перечень документов, необходимых для предоставления государственной услуги;</w:t>
      </w:r>
    </w:p>
    <w:p>
      <w:pPr>
        <w:pStyle w:val="0"/>
        <w:spacing w:before="240" w:line-rule="auto"/>
        <w:ind w:firstLine="540"/>
        <w:jc w:val="both"/>
      </w:pPr>
      <w:r>
        <w:rPr>
          <w:sz w:val="24"/>
        </w:rPr>
        <w:t xml:space="preserve">11.3) место расположения, график (режим) работы, номера телефонов и адрес электронной почты Департамента;</w:t>
      </w:r>
    </w:p>
    <w:p>
      <w:pPr>
        <w:pStyle w:val="0"/>
        <w:spacing w:before="240" w:line-rule="auto"/>
        <w:ind w:firstLine="540"/>
        <w:jc w:val="both"/>
      </w:pPr>
      <w:r>
        <w:rPr>
          <w:sz w:val="24"/>
        </w:rPr>
        <w:t xml:space="preserve">11.4) местонахождение главного специалиста комитета физической культуры, спорта и цифрового развития, ответственного за предоставление государственной услуги, и режим приема им заявителей;</w:t>
      </w:r>
    </w:p>
    <w:p>
      <w:pPr>
        <w:pStyle w:val="0"/>
        <w:spacing w:before="240" w:line-rule="auto"/>
        <w:ind w:firstLine="540"/>
        <w:jc w:val="both"/>
      </w:pPr>
      <w:r>
        <w:rPr>
          <w:sz w:val="24"/>
        </w:rPr>
        <w:t xml:space="preserve">11.5) основания отказа в предоставлении государственной услуги;</w:t>
      </w:r>
    </w:p>
    <w:p>
      <w:pPr>
        <w:pStyle w:val="0"/>
        <w:spacing w:before="240" w:line-rule="auto"/>
        <w:ind w:firstLine="540"/>
        <w:jc w:val="both"/>
      </w:pPr>
      <w:r>
        <w:rPr>
          <w:sz w:val="24"/>
        </w:rPr>
        <w:t xml:space="preserve">11.6) порядок информирования о ходе предоставления государственной услуги;</w:t>
      </w:r>
    </w:p>
    <w:p>
      <w:pPr>
        <w:pStyle w:val="0"/>
        <w:spacing w:before="240" w:line-rule="auto"/>
        <w:ind w:firstLine="540"/>
        <w:jc w:val="both"/>
      </w:pPr>
      <w:r>
        <w:rPr>
          <w:sz w:val="24"/>
        </w:rPr>
        <w:t xml:space="preserve">11.7) порядок получения консультаций;</w:t>
      </w:r>
    </w:p>
    <w:p>
      <w:pPr>
        <w:pStyle w:val="0"/>
        <w:spacing w:before="240" w:line-rule="auto"/>
        <w:ind w:firstLine="540"/>
        <w:jc w:val="both"/>
      </w:pPr>
      <w:r>
        <w:rPr>
          <w:sz w:val="24"/>
        </w:rPr>
        <w:t xml:space="preserve">11.8) порядок внесудебного обжалования решений, действий или бездействия главного специалиста комитета физической культуры, спорта и цифрового развития, ответственного за предоставление государственной услуги;</w:t>
      </w:r>
    </w:p>
    <w:p>
      <w:pPr>
        <w:pStyle w:val="0"/>
        <w:spacing w:before="240" w:line-rule="auto"/>
        <w:ind w:firstLine="540"/>
        <w:jc w:val="both"/>
      </w:pPr>
      <w:r>
        <w:rPr>
          <w:sz w:val="24"/>
        </w:rPr>
        <w:t xml:space="preserve">12) обеспечение возможности беспрепятственного доступа инвалидов осуществляется в соответствии с требованиями </w:t>
      </w:r>
      <w:r>
        <w:rPr>
          <w:sz w:val="24"/>
        </w:rPr>
        <w:t xml:space="preserve">статьи 15</w:t>
      </w:r>
      <w:r>
        <w:rPr>
          <w:sz w:val="24"/>
        </w:rPr>
        <w:t xml:space="preserve"> Федерального закона от 24 ноября 1995 года N 181-ФЗ "О социальной защите инвалидов в Российской Федерации".</w:t>
      </w:r>
    </w:p>
    <w:p>
      <w:pPr>
        <w:pStyle w:val="0"/>
        <w:spacing w:before="240" w:line-rule="auto"/>
        <w:ind w:firstLine="540"/>
        <w:jc w:val="both"/>
      </w:pPr>
      <w:r>
        <w:rPr>
          <w:sz w:val="24"/>
        </w:rPr>
        <w:t xml:space="preserve">В связи с отсутствием технической возможности обустройства здания Департамента для обеспечения беспрепятственного доступа в здание инвалидов, использующих кресла-коляски, государственная услуга предоставляется указанной категории граждан в альтернативной форме - дистанционно либо через Портал.</w:t>
      </w:r>
    </w:p>
    <w:p>
      <w:pPr>
        <w:pStyle w:val="0"/>
        <w:spacing w:before="240" w:line-rule="auto"/>
        <w:ind w:firstLine="540"/>
        <w:jc w:val="both"/>
      </w:pPr>
      <w:r>
        <w:rPr>
          <w:sz w:val="24"/>
        </w:rPr>
        <w:t xml:space="preserve">24. Показатели доступности и качества государственной услуги:</w:t>
      </w:r>
    </w:p>
    <w:p>
      <w:pPr>
        <w:pStyle w:val="0"/>
        <w:spacing w:before="240" w:line-rule="auto"/>
        <w:ind w:firstLine="540"/>
        <w:jc w:val="both"/>
      </w:pPr>
      <w:r>
        <w:rPr>
          <w:sz w:val="24"/>
        </w:rPr>
        <w:t xml:space="preserve">1) достоверность, полнота и актуальность информирования о порядке предоставления государственной услуги;</w:t>
      </w:r>
    </w:p>
    <w:p>
      <w:pPr>
        <w:pStyle w:val="0"/>
        <w:spacing w:before="240" w:line-rule="auto"/>
        <w:ind w:firstLine="540"/>
        <w:jc w:val="both"/>
      </w:pPr>
      <w:r>
        <w:rPr>
          <w:sz w:val="24"/>
        </w:rPr>
        <w:t xml:space="preserve">2) наглядность форм размещаемой информации о порядке предоставления государственной услуги;</w:t>
      </w:r>
    </w:p>
    <w:p>
      <w:pPr>
        <w:pStyle w:val="0"/>
        <w:spacing w:before="240" w:line-rule="auto"/>
        <w:ind w:firstLine="540"/>
        <w:jc w:val="both"/>
      </w:pPr>
      <w:r>
        <w:rPr>
          <w:sz w:val="24"/>
        </w:rPr>
        <w:t xml:space="preserve">3) соблюдение сроков и последовательности административных процедур, установленных настоящим Регламентом;</w:t>
      </w:r>
    </w:p>
    <w:p>
      <w:pPr>
        <w:pStyle w:val="0"/>
        <w:spacing w:before="240" w:line-rule="auto"/>
        <w:ind w:firstLine="540"/>
        <w:jc w:val="both"/>
      </w:pPr>
      <w:r>
        <w:rPr>
          <w:sz w:val="24"/>
        </w:rPr>
        <w:t xml:space="preserve">4) отсутствие удовлетворенных жалоб граждан, связанных с предоставлением государственной услуги.</w:t>
      </w:r>
    </w:p>
    <w:p>
      <w:pPr>
        <w:pStyle w:val="0"/>
        <w:spacing w:before="240" w:line-rule="auto"/>
        <w:ind w:firstLine="540"/>
        <w:jc w:val="both"/>
      </w:pPr>
      <w:r>
        <w:rPr>
          <w:sz w:val="24"/>
        </w:rPr>
        <w:t xml:space="preserve">25. Иные требования,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w:t>
      </w:r>
    </w:p>
    <w:p>
      <w:pPr>
        <w:pStyle w:val="0"/>
        <w:spacing w:before="240" w:line-rule="auto"/>
        <w:ind w:firstLine="540"/>
        <w:jc w:val="both"/>
      </w:pPr>
      <w:r>
        <w:rPr>
          <w:sz w:val="24"/>
        </w:rPr>
        <w:t xml:space="preserve">1)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w:t>
      </w:r>
    </w:p>
    <w:p>
      <w:pPr>
        <w:pStyle w:val="0"/>
        <w:spacing w:before="240" w:line-rule="auto"/>
        <w:ind w:firstLine="540"/>
        <w:jc w:val="both"/>
      </w:pPr>
      <w:r>
        <w:rPr>
          <w:sz w:val="24"/>
        </w:rPr>
        <w:t xml:space="preserve">2) заявитель имеет возможность получения государственной услуги в электронной форме с использованием Портала, в части:</w:t>
      </w:r>
    </w:p>
    <w:p>
      <w:pPr>
        <w:pStyle w:val="0"/>
        <w:spacing w:before="240" w:line-rule="auto"/>
        <w:ind w:firstLine="540"/>
        <w:jc w:val="both"/>
      </w:pPr>
      <w:r>
        <w:rPr>
          <w:sz w:val="24"/>
        </w:rPr>
        <w:t xml:space="preserve">а) получения информации о порядке предоставления государственной услуги;</w:t>
      </w:r>
    </w:p>
    <w:p>
      <w:pPr>
        <w:pStyle w:val="0"/>
        <w:spacing w:before="240" w:line-rule="auto"/>
        <w:ind w:firstLine="540"/>
        <w:jc w:val="both"/>
      </w:pPr>
      <w:r>
        <w:rPr>
          <w:sz w:val="24"/>
        </w:rPr>
        <w:t xml:space="preserve">б) ознакомления с формой представления и документов, необходимых для получения государственной услуги, обеспечения доступа к ним для копирования и заполнения в электронном виде.</w:t>
      </w:r>
    </w:p>
    <w:p>
      <w:pPr>
        <w:pStyle w:val="0"/>
        <w:jc w:val="both"/>
      </w:pPr>
      <w:r>
        <w:rPr>
          <w:sz w:val="24"/>
        </w:rPr>
      </w:r>
    </w:p>
    <w:bookmarkStart w:id="163" w:name="P163"/>
    <w:bookmarkEnd w:id="163"/>
    <w:p>
      <w:pPr>
        <w:pStyle w:val="2"/>
        <w:outlineLvl w:val="1"/>
        <w:jc w:val="center"/>
      </w:pPr>
      <w:r>
        <w:rPr>
          <w:sz w:val="24"/>
        </w:rPr>
        <w:t xml:space="preserve">3. Состав, последовательность и сроки выполнения</w:t>
      </w:r>
    </w:p>
    <w:p>
      <w:pPr>
        <w:pStyle w:val="2"/>
        <w:jc w:val="center"/>
      </w:pPr>
      <w:r>
        <w:rPr>
          <w:sz w:val="24"/>
        </w:rPr>
        <w:t xml:space="preserve">административных процедур, требования к порядку их</w:t>
      </w:r>
    </w:p>
    <w:p>
      <w:pPr>
        <w:pStyle w:val="2"/>
        <w:jc w:val="center"/>
      </w:pPr>
      <w:r>
        <w:rPr>
          <w:sz w:val="24"/>
        </w:rPr>
        <w:t xml:space="preserve">выполнения, в том числе особенности выполнения</w:t>
      </w:r>
    </w:p>
    <w:p>
      <w:pPr>
        <w:pStyle w:val="2"/>
        <w:jc w:val="center"/>
      </w:pPr>
      <w:r>
        <w:rPr>
          <w:sz w:val="24"/>
        </w:rPr>
        <w:t xml:space="preserve">административных процедур в электронной форме, а также</w:t>
      </w:r>
    </w:p>
    <w:p>
      <w:pPr>
        <w:pStyle w:val="2"/>
        <w:jc w:val="center"/>
      </w:pPr>
      <w:r>
        <w:rPr>
          <w:sz w:val="24"/>
        </w:rPr>
        <w:t xml:space="preserve">особенности выполнения административных процедур</w:t>
      </w:r>
    </w:p>
    <w:p>
      <w:pPr>
        <w:pStyle w:val="2"/>
        <w:jc w:val="center"/>
      </w:pPr>
      <w:r>
        <w:rPr>
          <w:sz w:val="24"/>
        </w:rPr>
        <w:t xml:space="preserve">в многофункциональных центрах</w:t>
      </w:r>
    </w:p>
    <w:p>
      <w:pPr>
        <w:pStyle w:val="0"/>
        <w:jc w:val="both"/>
      </w:pPr>
      <w:r>
        <w:rPr>
          <w:sz w:val="24"/>
        </w:rPr>
      </w:r>
    </w:p>
    <w:p>
      <w:pPr>
        <w:pStyle w:val="0"/>
        <w:ind w:firstLine="540"/>
        <w:jc w:val="both"/>
      </w:pPr>
      <w:r>
        <w:rPr>
          <w:sz w:val="24"/>
        </w:rPr>
        <w:t xml:space="preserve">26. Предоставление государственной услуги включает в себя действия (административные процедуры):</w:t>
      </w:r>
    </w:p>
    <w:p>
      <w:pPr>
        <w:pStyle w:val="0"/>
        <w:spacing w:before="240" w:line-rule="auto"/>
        <w:ind w:firstLine="540"/>
        <w:jc w:val="both"/>
      </w:pPr>
      <w:r>
        <w:rPr>
          <w:sz w:val="24"/>
        </w:rPr>
        <w:t xml:space="preserve">1) прием и регистрация документов,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w:t>
      </w:r>
    </w:p>
    <w:p>
      <w:pPr>
        <w:pStyle w:val="0"/>
        <w:spacing w:before="240" w:line-rule="auto"/>
        <w:ind w:firstLine="540"/>
        <w:jc w:val="both"/>
      </w:pPr>
      <w:r>
        <w:rPr>
          <w:sz w:val="24"/>
        </w:rPr>
        <w:t xml:space="preserve">2) проверка документов,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 и подготовка заключения по итогам проверки;</w:t>
      </w:r>
    </w:p>
    <w:p>
      <w:pPr>
        <w:pStyle w:val="0"/>
        <w:spacing w:before="240" w:line-rule="auto"/>
        <w:ind w:firstLine="540"/>
        <w:jc w:val="both"/>
      </w:pPr>
      <w:r>
        <w:rPr>
          <w:sz w:val="24"/>
        </w:rPr>
        <w:t xml:space="preserve">3) рассмотрение документов,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 Комиссией по присвоению судейских категорий (далее - Комиссия);</w:t>
      </w:r>
    </w:p>
    <w:p>
      <w:pPr>
        <w:pStyle w:val="0"/>
        <w:spacing w:before="240" w:line-rule="auto"/>
        <w:ind w:firstLine="540"/>
        <w:jc w:val="both"/>
      </w:pPr>
      <w:r>
        <w:rPr>
          <w:sz w:val="24"/>
        </w:rPr>
        <w:t xml:space="preserve">4) принятие решения о присвоении квалификационной категории спортивного судьи "спортивный судья первой категории" либо отказе в присвоении квалификационной категории спортивного судьи "спортивный судья первой категории";</w:t>
      </w:r>
    </w:p>
    <w:p>
      <w:pPr>
        <w:pStyle w:val="0"/>
        <w:jc w:val="both"/>
      </w:pPr>
      <w:r>
        <w:rPr>
          <w:sz w:val="24"/>
        </w:rPr>
        <w:t xml:space="preserve">(в ред. </w:t>
      </w:r>
      <w:r>
        <w:rPr>
          <w:sz w:val="24"/>
        </w:rPr>
        <w:t xml:space="preserve">приказа</w:t>
      </w:r>
      <w:r>
        <w:rPr>
          <w:sz w:val="24"/>
        </w:rPr>
        <w:t xml:space="preserve"> Департамента спорта Томской области от 01.04.2025 N 18)</w:t>
      </w:r>
    </w:p>
    <w:p>
      <w:pPr>
        <w:pStyle w:val="0"/>
        <w:spacing w:before="240" w:line-rule="auto"/>
        <w:ind w:firstLine="540"/>
        <w:jc w:val="both"/>
      </w:pPr>
      <w:r>
        <w:rPr>
          <w:sz w:val="24"/>
        </w:rPr>
        <w:t xml:space="preserve">5) присвоение квалификационной категории спортивного судьи "спортивный судья первой категории";</w:t>
      </w:r>
    </w:p>
    <w:p>
      <w:pPr>
        <w:pStyle w:val="0"/>
        <w:jc w:val="both"/>
      </w:pPr>
      <w:r>
        <w:rPr>
          <w:sz w:val="24"/>
        </w:rPr>
        <w:t xml:space="preserve">(в ред. </w:t>
      </w:r>
      <w:r>
        <w:rPr>
          <w:sz w:val="24"/>
        </w:rPr>
        <w:t xml:space="preserve">приказа</w:t>
      </w:r>
      <w:r>
        <w:rPr>
          <w:sz w:val="24"/>
        </w:rPr>
        <w:t xml:space="preserve"> Департамента спорта Томской области от 01.04.2025 N 18)</w:t>
      </w:r>
    </w:p>
    <w:p>
      <w:pPr>
        <w:pStyle w:val="0"/>
        <w:spacing w:before="240" w:line-rule="auto"/>
        <w:ind w:firstLine="540"/>
        <w:jc w:val="both"/>
      </w:pPr>
      <w:r>
        <w:rPr>
          <w:sz w:val="24"/>
        </w:rPr>
        <w:t xml:space="preserve">6) уведомление заявителя о присвоении квалификационной категории спортивного судьи "спортивный судья первой категории" либо отказе в присвоении квалификационной категории спортивного судьи "спортивный судья первой категории".</w:t>
      </w:r>
    </w:p>
    <w:p>
      <w:pPr>
        <w:pStyle w:val="0"/>
        <w:jc w:val="both"/>
      </w:pPr>
      <w:r>
        <w:rPr>
          <w:sz w:val="24"/>
        </w:rPr>
        <w:t xml:space="preserve">(в ред. </w:t>
      </w:r>
      <w:r>
        <w:rPr>
          <w:sz w:val="24"/>
        </w:rPr>
        <w:t xml:space="preserve">приказа</w:t>
      </w:r>
      <w:r>
        <w:rPr>
          <w:sz w:val="24"/>
        </w:rPr>
        <w:t xml:space="preserve"> Департамента спорта Томской области от 01.04.2025 N 18)</w:t>
      </w:r>
    </w:p>
    <w:p>
      <w:pPr>
        <w:pStyle w:val="0"/>
        <w:spacing w:before="240" w:line-rule="auto"/>
        <w:ind w:firstLine="540"/>
        <w:jc w:val="both"/>
      </w:pPr>
      <w:r>
        <w:rPr>
          <w:sz w:val="24"/>
        </w:rPr>
        <w:t xml:space="preserve">27. Описание последовательности действий при предоставлении государственной услуги </w:t>
      </w:r>
      <w:hyperlink w:history="0" w:anchor="P611" w:tooltip="БЛОК-СХЕМА">
        <w:r>
          <w:rPr>
            <w:sz w:val="24"/>
            <w:color w:val="0000ff"/>
          </w:rPr>
          <w:t xml:space="preserve">(блок-схема)</w:t>
        </w:r>
      </w:hyperlink>
      <w:r>
        <w:rPr>
          <w:sz w:val="24"/>
        </w:rPr>
        <w:t xml:space="preserve"> приведено в Приложении N 3 к настоящему Регламенту.</w:t>
      </w:r>
    </w:p>
    <w:p>
      <w:pPr>
        <w:pStyle w:val="0"/>
        <w:spacing w:before="240" w:line-rule="auto"/>
        <w:ind w:firstLine="540"/>
        <w:jc w:val="both"/>
      </w:pPr>
      <w:r>
        <w:rPr>
          <w:sz w:val="24"/>
        </w:rPr>
        <w:t xml:space="preserve">28. Прием документов,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w:t>
      </w:r>
    </w:p>
    <w:p>
      <w:pPr>
        <w:pStyle w:val="0"/>
        <w:spacing w:before="240" w:line-rule="auto"/>
        <w:ind w:firstLine="540"/>
        <w:jc w:val="both"/>
      </w:pPr>
      <w:r>
        <w:rPr>
          <w:sz w:val="24"/>
        </w:rPr>
        <w:t xml:space="preserve">1) основанием для начала процедуры приема и регистрации документов заявителя является обращение заявителя в Департамент по адресу: 634029, г. Томск, ул. Герцена, д. 8 с документами, предусмотренными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w:t>
      </w:r>
    </w:p>
    <w:p>
      <w:pPr>
        <w:pStyle w:val="0"/>
        <w:spacing w:before="240" w:line-rule="auto"/>
        <w:ind w:firstLine="540"/>
        <w:jc w:val="both"/>
      </w:pPr>
      <w:r>
        <w:rPr>
          <w:sz w:val="24"/>
        </w:rPr>
        <w:t xml:space="preserve">2) запись на прием в Департамент для подачи документов с использованием Портала, сайта Департамента в сети "Интернет" не осуществляется;</w:t>
      </w:r>
    </w:p>
    <w:p>
      <w:pPr>
        <w:pStyle w:val="0"/>
        <w:spacing w:before="240" w:line-rule="auto"/>
        <w:ind w:firstLine="540"/>
        <w:jc w:val="both"/>
      </w:pPr>
      <w:r>
        <w:rPr>
          <w:sz w:val="24"/>
        </w:rPr>
        <w:t xml:space="preserve">3) документы для присвоения квалификационной категории спортивного судьи "спортивный судья первой категории" могут поступить в Департамент одним из следующих способов:</w:t>
      </w:r>
    </w:p>
    <w:p>
      <w:pPr>
        <w:pStyle w:val="0"/>
        <w:spacing w:before="240" w:line-rule="auto"/>
        <w:ind w:firstLine="540"/>
        <w:jc w:val="both"/>
      </w:pPr>
      <w:r>
        <w:rPr>
          <w:sz w:val="24"/>
        </w:rPr>
        <w:t xml:space="preserve">лично заявителем;</w:t>
      </w:r>
    </w:p>
    <w:p>
      <w:pPr>
        <w:pStyle w:val="0"/>
        <w:spacing w:before="240" w:line-rule="auto"/>
        <w:ind w:firstLine="540"/>
        <w:jc w:val="both"/>
      </w:pPr>
      <w:r>
        <w:rPr>
          <w:sz w:val="24"/>
        </w:rPr>
        <w:t xml:space="preserve">почтовым отправлением;</w:t>
      </w:r>
    </w:p>
    <w:p>
      <w:pPr>
        <w:pStyle w:val="0"/>
        <w:spacing w:before="240" w:line-rule="auto"/>
        <w:ind w:firstLine="540"/>
        <w:jc w:val="both"/>
      </w:pPr>
      <w:r>
        <w:rPr>
          <w:sz w:val="24"/>
        </w:rPr>
        <w:t xml:space="preserve">нарочным;</w:t>
      </w:r>
    </w:p>
    <w:p>
      <w:pPr>
        <w:pStyle w:val="0"/>
        <w:spacing w:before="240" w:line-rule="auto"/>
        <w:ind w:firstLine="540"/>
        <w:jc w:val="both"/>
      </w:pPr>
      <w:r>
        <w:rPr>
          <w:sz w:val="24"/>
        </w:rPr>
        <w:t xml:space="preserve">4) главный специалист комитета физической культуры, спорта и цифрового развития Департамента, ответственный за предоставление услуги принимает и регистрирует документы в журнале приема и регистрации документов, необходимые для предоставления государственной услуги, предусмотренные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настоящего регламента;</w:t>
      </w:r>
    </w:p>
    <w:p>
      <w:pPr>
        <w:pStyle w:val="0"/>
        <w:spacing w:before="240" w:line-rule="auto"/>
        <w:ind w:firstLine="540"/>
        <w:jc w:val="both"/>
      </w:pPr>
      <w:r>
        <w:rPr>
          <w:sz w:val="24"/>
        </w:rPr>
        <w:t xml:space="preserve">5) результатом административной процедуры является регистрация заявления;</w:t>
      </w:r>
    </w:p>
    <w:p>
      <w:pPr>
        <w:pStyle w:val="0"/>
        <w:spacing w:before="240" w:line-rule="auto"/>
        <w:ind w:firstLine="540"/>
        <w:jc w:val="both"/>
      </w:pPr>
      <w:r>
        <w:rPr>
          <w:sz w:val="24"/>
        </w:rPr>
        <w:t xml:space="preserve">6) максимальный срок выполнения процедуры - 30 минут на каждого заявителя.</w:t>
      </w:r>
    </w:p>
    <w:p>
      <w:pPr>
        <w:pStyle w:val="0"/>
        <w:spacing w:before="240" w:line-rule="auto"/>
        <w:ind w:firstLine="540"/>
        <w:jc w:val="both"/>
      </w:pPr>
      <w:r>
        <w:rPr>
          <w:sz w:val="24"/>
        </w:rPr>
        <w:t xml:space="preserve">7) документы на присвоение квалификационной категории спортивного судьи "спортивный судья первой категории" подаются заявителем в течение 4 месяцев со дня выполнения Квалификационных требований;</w:t>
      </w:r>
    </w:p>
    <w:p>
      <w:pPr>
        <w:pStyle w:val="0"/>
        <w:spacing w:before="240" w:line-rule="auto"/>
        <w:ind w:firstLine="540"/>
        <w:jc w:val="both"/>
      </w:pPr>
      <w:r>
        <w:rPr>
          <w:sz w:val="24"/>
        </w:rPr>
        <w:t xml:space="preserve">8) главный специалист, комитета физической культуры, спорта и цифрового развития, ответственный за предоставление государственной услуги, отказывает в приеме, регистрации документов,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 в случаях, указанных в </w:t>
      </w:r>
      <w:hyperlink w:history="0" w:anchor="P106" w:tooltip="14. Перечень оснований для отказа в приеме документов, необходимых для предоставления государственной услуги:">
        <w:r>
          <w:rPr>
            <w:sz w:val="24"/>
            <w:color w:val="0000ff"/>
          </w:rPr>
          <w:t xml:space="preserve">пункте 14</w:t>
        </w:r>
      </w:hyperlink>
      <w:r>
        <w:rPr>
          <w:sz w:val="24"/>
        </w:rPr>
        <w:t xml:space="preserve"> Регламента, и возвращает заявителю, с указанием причин возврата.</w:t>
      </w:r>
    </w:p>
    <w:p>
      <w:pPr>
        <w:pStyle w:val="0"/>
        <w:spacing w:before="240" w:line-rule="auto"/>
        <w:ind w:firstLine="540"/>
        <w:jc w:val="both"/>
      </w:pPr>
      <w:r>
        <w:rPr>
          <w:sz w:val="24"/>
        </w:rPr>
        <w:t xml:space="preserve">8.1.) в случае подачи документов для присвоения квалификационной категории спортивного судьи "спортивный судья первой категории" в электронной форме документы не возвращаются.</w:t>
      </w:r>
    </w:p>
    <w:p>
      <w:pPr>
        <w:pStyle w:val="0"/>
        <w:spacing w:before="240" w:line-rule="auto"/>
        <w:ind w:firstLine="540"/>
        <w:jc w:val="both"/>
      </w:pPr>
      <w:r>
        <w:rPr>
          <w:sz w:val="24"/>
        </w:rPr>
        <w:t xml:space="preserve">Максимальный срок выполнения действия - 3 рабочих дня;</w:t>
      </w:r>
    </w:p>
    <w:p>
      <w:pPr>
        <w:pStyle w:val="0"/>
        <w:spacing w:before="240" w:line-rule="auto"/>
        <w:ind w:firstLine="540"/>
        <w:jc w:val="both"/>
      </w:pPr>
      <w:r>
        <w:rPr>
          <w:sz w:val="24"/>
        </w:rPr>
        <w:t xml:space="preserve">9) в случае возврата документов заявитель в течение 20 рабочих дней со дня получения документов для присвоения квалификационной категории спортивного судьи "спортивный судья первой категории" устраняет несоответствия, и повторно направляет документы, предусмотренные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 для рассмотрения в Департамент.</w:t>
      </w:r>
    </w:p>
    <w:p>
      <w:pPr>
        <w:pStyle w:val="0"/>
        <w:spacing w:before="240" w:line-rule="auto"/>
        <w:ind w:firstLine="540"/>
        <w:jc w:val="both"/>
      </w:pPr>
      <w:r>
        <w:rPr>
          <w:sz w:val="24"/>
        </w:rPr>
        <w:t xml:space="preserve">10) в случае подачи документов для присвоения квалификационной категории спортивного судьи "спортивный судья первой категории" в электронной форме, не соответствующих требованиям, Департаментом принимается решение об отказе в приеме документов.</w:t>
      </w:r>
    </w:p>
    <w:p>
      <w:pPr>
        <w:pStyle w:val="0"/>
        <w:spacing w:before="240" w:line-rule="auto"/>
        <w:ind w:firstLine="540"/>
        <w:jc w:val="both"/>
      </w:pPr>
      <w:r>
        <w:rPr>
          <w:sz w:val="24"/>
        </w:rPr>
        <w:t xml:space="preserve">В случае отказа в приеме документов для присвоения квалификационной категории спортивного судьи "спортивный судья первой категории" в электронной форме заявитель может повторно направить документы для рассмотрения.</w:t>
      </w:r>
    </w:p>
    <w:p>
      <w:pPr>
        <w:pStyle w:val="0"/>
        <w:spacing w:before="240" w:line-rule="auto"/>
        <w:ind w:firstLine="540"/>
        <w:jc w:val="both"/>
      </w:pPr>
      <w:r>
        <w:rPr>
          <w:sz w:val="24"/>
        </w:rPr>
        <w:t xml:space="preserve">29. Проверка документов,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 и подготовка заключения по результатам проверки:</w:t>
      </w:r>
    </w:p>
    <w:p>
      <w:pPr>
        <w:pStyle w:val="0"/>
        <w:spacing w:before="240" w:line-rule="auto"/>
        <w:ind w:firstLine="540"/>
        <w:jc w:val="both"/>
      </w:pPr>
      <w:r>
        <w:rPr>
          <w:sz w:val="24"/>
        </w:rPr>
        <w:t xml:space="preserve">1) основанием для начала административной процедуры является прием и регистрация главным специалистом комитета физической культуры, спорта и цифрового развития Департамента, ответственным за предоставление услуги, документов,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w:t>
      </w:r>
    </w:p>
    <w:p>
      <w:pPr>
        <w:pStyle w:val="0"/>
        <w:spacing w:before="240" w:line-rule="auto"/>
        <w:ind w:firstLine="540"/>
        <w:jc w:val="both"/>
      </w:pPr>
      <w:r>
        <w:rPr>
          <w:sz w:val="24"/>
        </w:rPr>
        <w:t xml:space="preserve">2) главный специалист комитета физической культуры, спорта и цифрового развития Департамента, ответственный за предоставление государственной услуги осуществляет проверку сведений о документах, удостоверяющих личность и документов,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 и устанавливает соответствие формы и содержания документов требованиям законодательства Российской Федерации, Томской области и Регламента;</w:t>
      </w:r>
    </w:p>
    <w:p>
      <w:pPr>
        <w:pStyle w:val="0"/>
        <w:spacing w:before="240" w:line-rule="auto"/>
        <w:ind w:firstLine="540"/>
        <w:jc w:val="both"/>
      </w:pPr>
      <w:r>
        <w:rPr>
          <w:sz w:val="24"/>
        </w:rPr>
        <w:t xml:space="preserve">3) главный специалист комитета физической культуры, спорта и цифрового развития Департамента, ответственный за предоставление государственной услуги, по результатам проверки подготавливает проект протокола заседания Комиссии, осуществляет организацию заседания Комиссии.</w:t>
      </w:r>
    </w:p>
    <w:p>
      <w:pPr>
        <w:pStyle w:val="0"/>
        <w:spacing w:before="240" w:line-rule="auto"/>
        <w:ind w:firstLine="540"/>
        <w:jc w:val="both"/>
      </w:pPr>
      <w:r>
        <w:rPr>
          <w:sz w:val="24"/>
        </w:rPr>
        <w:t xml:space="preserve">Заседание Комиссии проводится один раз в месяц в последний рабочий день месяца, кроме декабря. В декабре заседание Комиссии Департамента проводится 25 декабря.</w:t>
      </w:r>
    </w:p>
    <w:p>
      <w:pPr>
        <w:pStyle w:val="0"/>
        <w:spacing w:before="240" w:line-rule="auto"/>
        <w:ind w:firstLine="540"/>
        <w:jc w:val="both"/>
      </w:pPr>
      <w:r>
        <w:rPr>
          <w:sz w:val="24"/>
        </w:rPr>
        <w:t xml:space="preserve">Решение о присвоении квалификационной категории спортивного судьи "спортивный судья первой категории" либо об отказе в присвоении квалификационной категории спортивного судьи "спортивный судья первой категории", принятое на заседании Комиссии, оформляется протоколом;</w:t>
      </w:r>
    </w:p>
    <w:p>
      <w:pPr>
        <w:pStyle w:val="0"/>
        <w:spacing w:before="240" w:line-rule="auto"/>
        <w:ind w:firstLine="540"/>
        <w:jc w:val="both"/>
      </w:pPr>
      <w:r>
        <w:rPr>
          <w:sz w:val="24"/>
        </w:rPr>
        <w:t xml:space="preserve">4) максимальный срок выполнения процедуры - 16 рабочих дней со дня приема и регистрации документов,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 главным специалистом комитета физической культуры, спорта и цифрового развития Департамента, ответственным за предоставление услуги.</w:t>
      </w:r>
    </w:p>
    <w:p>
      <w:pPr>
        <w:pStyle w:val="0"/>
        <w:spacing w:before="240" w:line-rule="auto"/>
        <w:ind w:firstLine="540"/>
        <w:jc w:val="both"/>
      </w:pPr>
      <w:r>
        <w:rPr>
          <w:sz w:val="24"/>
        </w:rPr>
        <w:t xml:space="preserve">30. Рассмотрение документов,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 Комиссией:</w:t>
      </w:r>
    </w:p>
    <w:p>
      <w:pPr>
        <w:pStyle w:val="0"/>
        <w:spacing w:before="240" w:line-rule="auto"/>
        <w:ind w:firstLine="540"/>
        <w:jc w:val="both"/>
      </w:pPr>
      <w:r>
        <w:rPr>
          <w:sz w:val="24"/>
        </w:rPr>
        <w:t xml:space="preserve">1) основанием для проведения заседания Комиссии является поступление в Комиссию проекта протокола заседания Комиссии главного специалиста физической культуры, спорта и цифрового развития Департамента, ответственного за предоставление услуги, подготовленное не позднее, чем за 2 рабочих дня до заседания Комиссии;</w:t>
      </w:r>
    </w:p>
    <w:p>
      <w:pPr>
        <w:pStyle w:val="0"/>
        <w:spacing w:before="240" w:line-rule="auto"/>
        <w:ind w:firstLine="540"/>
        <w:jc w:val="both"/>
      </w:pPr>
      <w:r>
        <w:rPr>
          <w:sz w:val="24"/>
        </w:rPr>
        <w:t xml:space="preserve">2) Комиссия рассматривает вопросы по присвоению квалификационной категории "спортивный судья первой категории", включая анализ документов, представленных в соответствии с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w:t>
      </w:r>
    </w:p>
    <w:p>
      <w:pPr>
        <w:pStyle w:val="0"/>
        <w:spacing w:before="240" w:line-rule="auto"/>
        <w:ind w:firstLine="540"/>
        <w:jc w:val="both"/>
      </w:pPr>
      <w:r>
        <w:rPr>
          <w:sz w:val="24"/>
        </w:rPr>
        <w:t xml:space="preserve">3) решение о присвоении квалификационной категории спортивного судьи "спортивный судья первой категории" либо об отказе в присвоении квалификационной категории спортивного судьи "спортивный судья первой категории" принятое на заседании Комиссии, оформляется протоколом и носит рекомендательный характер;</w:t>
      </w:r>
    </w:p>
    <w:p>
      <w:pPr>
        <w:pStyle w:val="0"/>
        <w:spacing w:before="240" w:line-rule="auto"/>
        <w:ind w:firstLine="540"/>
        <w:jc w:val="both"/>
      </w:pPr>
      <w:r>
        <w:rPr>
          <w:sz w:val="24"/>
        </w:rPr>
        <w:t xml:space="preserve">4) максимальный срок выполнения процедуры - 1 рабочий день.</w:t>
      </w:r>
    </w:p>
    <w:p>
      <w:pPr>
        <w:pStyle w:val="0"/>
        <w:spacing w:before="240" w:line-rule="auto"/>
        <w:ind w:firstLine="540"/>
        <w:jc w:val="both"/>
      </w:pPr>
      <w:r>
        <w:rPr>
          <w:sz w:val="24"/>
        </w:rPr>
        <w:t xml:space="preserve">31. Принятие решения о присвоении квалификационной категории спортивного судьи "спортивный судья первой категории" либо об отказе в присвоении квалификационной категории спортивного судьи "спортивный судья первой категории":</w:t>
      </w:r>
    </w:p>
    <w:p>
      <w:pPr>
        <w:pStyle w:val="0"/>
        <w:spacing w:before="240" w:line-rule="auto"/>
        <w:ind w:firstLine="540"/>
        <w:jc w:val="both"/>
      </w:pPr>
      <w:r>
        <w:rPr>
          <w:sz w:val="24"/>
        </w:rPr>
        <w:t xml:space="preserve">1) основанием для начала административной процедуры является представление на подпись начальнику Департамента проекта распоряжения Департамента о присвоении квалификационной категории спортивного судьи "спортивный судья первой категории" либо проект мотивированного письменного отказа в присвоении квалификационной категории спортивного судьи "спортивный судья первой категории", подготовленного главным специалистом комитета физической культуры, спорта и цифрового развития Департамента, ответственным за предоставление государственной услуги;</w:t>
      </w:r>
    </w:p>
    <w:p>
      <w:pPr>
        <w:pStyle w:val="0"/>
        <w:spacing w:before="240" w:line-rule="auto"/>
        <w:ind w:firstLine="540"/>
        <w:jc w:val="both"/>
      </w:pPr>
      <w:r>
        <w:rPr>
          <w:sz w:val="24"/>
        </w:rPr>
        <w:t xml:space="preserve">2) начальник Департамента в течение одного рабочего дня со дня получения проекта распоряжения Департамента о присвоении квалификационной категории спортивного судьи "спортивный судья первой категории" принимает решение о его подписании или неподписании. В случае принятия решения о подписании представленного проекта, начальник Департамента подписывает его и передает для регистрации главному специалисту комитета физической культуры, спорта и цифрового развития Департамента, ответственному за регистрацию распоряжений Департамента. В случае принятия решения о неподписании представленного проекта распоряжения, начальник Департамента с обоснованием принятия данного решения, передает его главному специалисту комитета физической культуры, спорта и цифрового развития Департамента, ответственному за предоставление государственной услуги, для внесения изменений и исправлений;</w:t>
      </w:r>
    </w:p>
    <w:p>
      <w:pPr>
        <w:pStyle w:val="0"/>
        <w:spacing w:before="240" w:line-rule="auto"/>
        <w:ind w:firstLine="540"/>
        <w:jc w:val="both"/>
      </w:pPr>
      <w:r>
        <w:rPr>
          <w:sz w:val="24"/>
        </w:rPr>
        <w:t xml:space="preserve">3) главный специалист комитета физической культуры, спорта и цифрового развития Департамента, ответственный за предоставление государственной услуги, при получении проекта распоряжения, не согласованного начальником Департамента, в тот же день дорабатывает его и повторно передает на подпись начальнику Департамента;</w:t>
      </w:r>
    </w:p>
    <w:bookmarkStart w:id="214" w:name="P214"/>
    <w:bookmarkEnd w:id="214"/>
    <w:p>
      <w:pPr>
        <w:pStyle w:val="0"/>
        <w:spacing w:before="240" w:line-rule="auto"/>
        <w:ind w:firstLine="540"/>
        <w:jc w:val="both"/>
      </w:pPr>
      <w:r>
        <w:rPr>
          <w:sz w:val="24"/>
        </w:rPr>
        <w:t xml:space="preserve">4) начальник Департамента в течение одного рабочего дня со дня повторного получения проекта распоряжения подписывает его и передает для регистрации главному специалисту комитета физической культуры, спорта и цифрового развития Департамента, ответственному за регистрацию распоряжений Департамента;</w:t>
      </w:r>
    </w:p>
    <w:p>
      <w:pPr>
        <w:pStyle w:val="0"/>
        <w:spacing w:before="240" w:line-rule="auto"/>
        <w:ind w:firstLine="540"/>
        <w:jc w:val="both"/>
      </w:pPr>
      <w:r>
        <w:rPr>
          <w:sz w:val="24"/>
        </w:rPr>
        <w:t xml:space="preserve">5) главный специалист физической культуры, спорта и цифрового развития Департамента, ответственный за регистрацию распоряжений, в течение одного рабочего дня со дня получения подписанного распоряжения регистрирует его;</w:t>
      </w:r>
    </w:p>
    <w:p>
      <w:pPr>
        <w:pStyle w:val="0"/>
        <w:spacing w:before="240" w:line-rule="auto"/>
        <w:ind w:firstLine="540"/>
        <w:jc w:val="both"/>
      </w:pPr>
      <w:r>
        <w:rPr>
          <w:sz w:val="24"/>
        </w:rPr>
        <w:t xml:space="preserve">6) максимальный срок выполнения процедуры - 3 рабочих дня со дня представления проекта распоряжения Департамента о присвоении квалификационной категории "спортивный судья первой категории" на подпись начальнику Департамента.</w:t>
      </w:r>
    </w:p>
    <w:p>
      <w:pPr>
        <w:pStyle w:val="0"/>
        <w:spacing w:before="240" w:line-rule="auto"/>
        <w:ind w:firstLine="540"/>
        <w:jc w:val="both"/>
      </w:pPr>
      <w:r>
        <w:rPr>
          <w:sz w:val="24"/>
        </w:rPr>
        <w:t xml:space="preserve">32. Уведомление заявителя:</w:t>
      </w:r>
    </w:p>
    <w:p>
      <w:pPr>
        <w:pStyle w:val="0"/>
        <w:spacing w:before="240" w:line-rule="auto"/>
        <w:ind w:firstLine="540"/>
        <w:jc w:val="both"/>
      </w:pPr>
      <w:r>
        <w:rPr>
          <w:sz w:val="24"/>
        </w:rPr>
        <w:t xml:space="preserve">1) основанием для начала административной процедуры является зарегистрированное распоряжение Департамента о присвоении квалификационной категории спортивного судьи "спортивный судья первой категории" (далее - Распоряжение);</w:t>
      </w:r>
    </w:p>
    <w:p>
      <w:pPr>
        <w:pStyle w:val="0"/>
        <w:spacing w:before="240" w:line-rule="auto"/>
        <w:ind w:firstLine="540"/>
        <w:jc w:val="both"/>
      </w:pPr>
      <w:r>
        <w:rPr>
          <w:sz w:val="24"/>
        </w:rPr>
        <w:t xml:space="preserve">2) главный специалист комитета физической культуры, спорта и цифрового развития Департамента, ответственный за предоставление государственной услуги размещает распоряжение на официальном сайте Департамента в информационно-телекоммуникационной сети "Интернет" в течение 3 рабочих дней со дня его подписания.</w:t>
      </w:r>
    </w:p>
    <w:p>
      <w:pPr>
        <w:pStyle w:val="0"/>
        <w:spacing w:before="240" w:line-rule="auto"/>
        <w:ind w:firstLine="540"/>
        <w:jc w:val="both"/>
      </w:pPr>
      <w:r>
        <w:rPr>
          <w:sz w:val="24"/>
        </w:rPr>
        <w:t xml:space="preserve">В случае подачи документов в электронной форме, документ о принятом решении, подписанный ЭП Департамента, размещается в личном кабинете заявителя, в системе, автоматизирующей исполнение государственных функций или предоставление государственных услуг, посредством которой были поданы документы;</w:t>
      </w:r>
    </w:p>
    <w:p>
      <w:pPr>
        <w:pStyle w:val="0"/>
        <w:spacing w:before="240" w:line-rule="auto"/>
        <w:ind w:firstLine="540"/>
        <w:jc w:val="both"/>
      </w:pPr>
      <w:r>
        <w:rPr>
          <w:sz w:val="24"/>
        </w:rPr>
        <w:t xml:space="preserve">3) главный специалист комитета физической культуры, спорта и цифрового развития Департамента, ответственный за предоставление государственной услуги, направляет копию распоряжения в отношении военно-прикладных и служебно-прикладных видов спорта в подразделение федерального органа или передает должностному лицу подразделения федерального органа.</w:t>
      </w:r>
    </w:p>
    <w:p>
      <w:pPr>
        <w:pStyle w:val="0"/>
        <w:spacing w:before="240" w:line-rule="auto"/>
        <w:ind w:firstLine="540"/>
        <w:jc w:val="both"/>
      </w:pPr>
      <w:r>
        <w:rPr>
          <w:sz w:val="24"/>
        </w:rPr>
        <w:t xml:space="preserve">4) главный специалист комитета физической культуры, спорта и цифрового развития Департамента, на основании распоряжения выдает заявителю в Департаменте зачетную книжку и значок спортивного судьи (далее - книжка и значок). Заявитель вправе получить книжку и значок в течение срока действия результата предоставления государственной услуги, указанного в </w:t>
      </w:r>
      <w:hyperlink w:history="0" w:anchor="P214" w:tooltip="4) начальник Департамента в течение одного рабочего дня со дня повторного получения проекта распоряжения подписывает его и передает для регистрации главному специалисту комитета физической культуры, спорта и цифрового развития Департамента, ответственному за регистрацию распоряжений Департамента;">
        <w:r>
          <w:rPr>
            <w:sz w:val="24"/>
            <w:color w:val="0000ff"/>
          </w:rPr>
          <w:t xml:space="preserve">подпункте 4 пункта 31</w:t>
        </w:r>
      </w:hyperlink>
      <w:r>
        <w:rPr>
          <w:sz w:val="24"/>
        </w:rPr>
        <w:t xml:space="preserve"> Регламента;</w:t>
      </w:r>
    </w:p>
    <w:p>
      <w:pPr>
        <w:pStyle w:val="0"/>
        <w:spacing w:before="240" w:line-rule="auto"/>
        <w:ind w:firstLine="540"/>
        <w:jc w:val="both"/>
      </w:pPr>
      <w:r>
        <w:rPr>
          <w:sz w:val="24"/>
        </w:rPr>
        <w:t xml:space="preserve">5) при отказе в присвоении квалификационной категории спортивного судьи "спортивный судья первой категории", главный специалист комитета физической культуры, спорта и цифрового развития Департамента, ответственный за предоставление государственной услуги, направляет заявителю, мотивированный письменный отказ и возвращает документы.</w:t>
      </w:r>
    </w:p>
    <w:p>
      <w:pPr>
        <w:pStyle w:val="0"/>
        <w:spacing w:before="240" w:line-rule="auto"/>
        <w:ind w:firstLine="540"/>
        <w:jc w:val="both"/>
      </w:pPr>
      <w:r>
        <w:rPr>
          <w:sz w:val="24"/>
        </w:rPr>
        <w:t xml:space="preserve">Максимальный срок выполнения действия 3 рабочих дня.</w:t>
      </w:r>
    </w:p>
    <w:p>
      <w:pPr>
        <w:pStyle w:val="0"/>
        <w:spacing w:before="240" w:line-rule="auto"/>
        <w:ind w:firstLine="540"/>
        <w:jc w:val="both"/>
      </w:pPr>
      <w:r>
        <w:rPr>
          <w:sz w:val="24"/>
        </w:rPr>
        <w:t xml:space="preserve">6) результат предоставления государственной услуги с использованием Портала, официального сайта Департамента в информационно-телекоммуникационной сети "Интернет" не предоставляется;</w:t>
      </w:r>
    </w:p>
    <w:p>
      <w:pPr>
        <w:pStyle w:val="0"/>
        <w:spacing w:before="240" w:line-rule="auto"/>
        <w:ind w:firstLine="540"/>
        <w:jc w:val="both"/>
      </w:pPr>
      <w:r>
        <w:rPr>
          <w:sz w:val="24"/>
        </w:rPr>
        <w:t xml:space="preserve">7) максимальный срок выполнения процедуры 2 рабочих дня.</w:t>
      </w:r>
    </w:p>
    <w:p>
      <w:pPr>
        <w:pStyle w:val="0"/>
        <w:spacing w:before="240" w:line-rule="auto"/>
        <w:ind w:firstLine="540"/>
        <w:jc w:val="both"/>
      </w:pPr>
      <w:r>
        <w:rPr>
          <w:sz w:val="24"/>
        </w:rPr>
        <w:t xml:space="preserve">33. Квалификационная категория спортивного судьи "спортивный судья первой категории" присваивается сроком на 2 года кандидатам:</w:t>
      </w:r>
    </w:p>
    <w:p>
      <w:pPr>
        <w:pStyle w:val="0"/>
        <w:spacing w:before="240" w:line-rule="auto"/>
        <w:ind w:firstLine="540"/>
        <w:jc w:val="both"/>
      </w:pPr>
      <w:r>
        <w:rPr>
          <w:sz w:val="24"/>
        </w:rPr>
        <w:t xml:space="preserve">имеющим вторую категорию, но не ранее чем через 2 года со дня присвоения такой категории;</w:t>
      </w:r>
    </w:p>
    <w:p>
      <w:pPr>
        <w:pStyle w:val="0"/>
        <w:spacing w:before="240" w:line-rule="auto"/>
        <w:ind w:firstLine="540"/>
        <w:jc w:val="both"/>
      </w:pPr>
      <w:r>
        <w:rPr>
          <w:sz w:val="24"/>
        </w:rPr>
        <w:t xml:space="preserve">имеющим спортивное звание "мастер спорта России международного класса", "гроссмейстер России" или "мастер спорта России" по соответствующему виду спорта.</w:t>
      </w:r>
    </w:p>
    <w:p>
      <w:pPr>
        <w:pStyle w:val="0"/>
        <w:spacing w:before="240" w:line-rule="auto"/>
        <w:ind w:firstLine="540"/>
        <w:jc w:val="both"/>
      </w:pPr>
      <w:r>
        <w:rPr>
          <w:sz w:val="24"/>
        </w:rPr>
        <w:t xml:space="preserve">34. При предоставлении государственной услуги в электронной форме заявитель имеет возможность получения информации о ходе предоставления государственной услуги. Заявителю направляются следующие уведомления:</w:t>
      </w:r>
    </w:p>
    <w:p>
      <w:pPr>
        <w:pStyle w:val="0"/>
        <w:spacing w:before="240" w:line-rule="auto"/>
        <w:ind w:firstLine="540"/>
        <w:jc w:val="both"/>
      </w:pPr>
      <w:r>
        <w:rPr>
          <w:sz w:val="24"/>
        </w:rPr>
        <w:t xml:space="preserve">а) уведомление о приеме и регистрации запроса и документов, необходимых для предоставления государственной услуги и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w:t>
      </w:r>
    </w:p>
    <w:p>
      <w:pPr>
        <w:pStyle w:val="0"/>
        <w:spacing w:before="240" w:line-rule="auto"/>
        <w:ind w:firstLine="540"/>
        <w:jc w:val="both"/>
      </w:pPr>
      <w:r>
        <w:rPr>
          <w:sz w:val="24"/>
        </w:rPr>
        <w:t xml:space="preserve">б) уведомление о начале процедуры предоставления государственной услуги;</w:t>
      </w:r>
    </w:p>
    <w:p>
      <w:pPr>
        <w:pStyle w:val="0"/>
        <w:spacing w:before="240" w:line-rule="auto"/>
        <w:ind w:firstLine="540"/>
        <w:jc w:val="both"/>
      </w:pPr>
      <w:r>
        <w:rPr>
          <w:sz w:val="24"/>
        </w:rPr>
        <w:t xml:space="preserve">в) уведомление об окончании предоставления государственной услуги либо мотивированном отказе в приеме запроса и документов, необходимых для предоставления государственной услуги и предусмотренных </w:t>
      </w:r>
      <w:hyperlink w:history="0" w:anchor="P96" w:tooltip="12.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r>
          <w:rPr>
            <w:sz w:val="24"/>
            <w:color w:val="0000ff"/>
          </w:rPr>
          <w:t xml:space="preserve">пунктом 12</w:t>
        </w:r>
      </w:hyperlink>
      <w:r>
        <w:rPr>
          <w:sz w:val="24"/>
        </w:rPr>
        <w:t xml:space="preserve"> Регламента;</w:t>
      </w:r>
    </w:p>
    <w:p>
      <w:pPr>
        <w:pStyle w:val="0"/>
        <w:spacing w:before="240" w:line-rule="auto"/>
        <w:ind w:firstLine="540"/>
        <w:jc w:val="both"/>
      </w:pPr>
      <w:r>
        <w:rPr>
          <w:sz w:val="24"/>
        </w:rPr>
        <w:t xml:space="preserve">г) уведомление о возможности получить результат предоставления государственной услуги.</w:t>
      </w:r>
    </w:p>
    <w:p>
      <w:pPr>
        <w:pStyle w:val="0"/>
        <w:spacing w:before="240" w:line-rule="auto"/>
        <w:ind w:firstLine="540"/>
        <w:jc w:val="both"/>
      </w:pPr>
      <w:r>
        <w:rPr>
          <w:sz w:val="24"/>
        </w:rPr>
        <w:t xml:space="preserve">35. Заявитель имеет возможность оценить доступность и качество государственной услуги на Портале.</w:t>
      </w:r>
    </w:p>
    <w:p>
      <w:pPr>
        <w:pStyle w:val="0"/>
        <w:jc w:val="both"/>
      </w:pPr>
      <w:r>
        <w:rPr>
          <w:sz w:val="24"/>
        </w:rPr>
      </w:r>
    </w:p>
    <w:p>
      <w:pPr>
        <w:pStyle w:val="2"/>
        <w:outlineLvl w:val="1"/>
        <w:jc w:val="center"/>
      </w:pPr>
      <w:r>
        <w:rPr>
          <w:sz w:val="24"/>
        </w:rPr>
        <w:t xml:space="preserve">4. Формы контроля за исполнением</w:t>
      </w:r>
    </w:p>
    <w:p>
      <w:pPr>
        <w:pStyle w:val="2"/>
        <w:jc w:val="center"/>
      </w:pPr>
      <w:r>
        <w:rPr>
          <w:sz w:val="24"/>
        </w:rPr>
        <w:t xml:space="preserve">административного регламента</w:t>
      </w:r>
    </w:p>
    <w:p>
      <w:pPr>
        <w:pStyle w:val="0"/>
        <w:jc w:val="both"/>
      </w:pPr>
      <w:r>
        <w:rPr>
          <w:sz w:val="24"/>
        </w:rPr>
      </w:r>
    </w:p>
    <w:p>
      <w:pPr>
        <w:pStyle w:val="0"/>
        <w:ind w:firstLine="540"/>
        <w:jc w:val="both"/>
      </w:pPr>
      <w:r>
        <w:rPr>
          <w:sz w:val="24"/>
        </w:rPr>
        <w:t xml:space="preserve">36. Контроль за исполнением административного регламента осуществляется в форме текущего контроля.</w:t>
      </w:r>
    </w:p>
    <w:p>
      <w:pPr>
        <w:pStyle w:val="0"/>
        <w:spacing w:before="240" w:line-rule="auto"/>
        <w:ind w:firstLine="540"/>
        <w:jc w:val="both"/>
      </w:pPr>
      <w:r>
        <w:rPr>
          <w:sz w:val="24"/>
        </w:rPr>
        <w:t xml:space="preserve">37. Текущий контроль за соблюдением и исполнением главным специалистом комитета физической культуры, спорта и цифрового развития Департамента, ответственным за предоставление государственной услуги, положений Регламента и иных нормативных правовых актов Российской Федерации и Томской области, устанавливающих требования к предоставлению государственной услуги, осуществляется начальником Департамента, а в случаях его временного отсутствия - и.о. начальника Департамента, постоянно:</w:t>
      </w:r>
    </w:p>
    <w:p>
      <w:pPr>
        <w:pStyle w:val="0"/>
        <w:spacing w:before="240" w:line-rule="auto"/>
        <w:ind w:firstLine="540"/>
        <w:jc w:val="both"/>
      </w:pPr>
      <w:r>
        <w:rPr>
          <w:sz w:val="24"/>
        </w:rPr>
        <w:t xml:space="preserve">1) в части осуществления главным специалистом комитета физической культуры, спорта и цифрового развития Департамента, ответственным за предоставление государственной услуги, действий по рассмотрению запроса, получению документов путем межведомственного информационного взаимодействия, подготовке письменного мотивированного отказа в предоставлении государственной услуги либо подготовке проекта распоряжения;</w:t>
      </w:r>
    </w:p>
    <w:p>
      <w:pPr>
        <w:pStyle w:val="0"/>
        <w:spacing w:before="240" w:line-rule="auto"/>
        <w:ind w:firstLine="540"/>
        <w:jc w:val="both"/>
      </w:pPr>
      <w:r>
        <w:rPr>
          <w:sz w:val="24"/>
        </w:rPr>
        <w:t xml:space="preserve">2) в части регистрации запроса и направления заявителю результата предоставления государственной услуги.</w:t>
      </w:r>
    </w:p>
    <w:p>
      <w:pPr>
        <w:pStyle w:val="0"/>
        <w:spacing w:before="240" w:line-rule="auto"/>
        <w:ind w:firstLine="540"/>
        <w:jc w:val="both"/>
      </w:pPr>
      <w:r>
        <w:rPr>
          <w:sz w:val="24"/>
        </w:rPr>
        <w:t xml:space="preserve">38. Основания и порядок осуществления контроля со стороны граждан и других заявителей определяются в соответствии с законодательством Российской Федерации.</w:t>
      </w:r>
    </w:p>
    <w:p>
      <w:pPr>
        <w:pStyle w:val="0"/>
        <w:jc w:val="both"/>
      </w:pPr>
      <w:r>
        <w:rPr>
          <w:sz w:val="24"/>
        </w:rPr>
      </w:r>
    </w:p>
    <w:p>
      <w:pPr>
        <w:pStyle w:val="2"/>
        <w:outlineLvl w:val="1"/>
        <w:jc w:val="center"/>
      </w:pPr>
      <w:r>
        <w:rPr>
          <w:sz w:val="24"/>
        </w:rPr>
        <w:t xml:space="preserve">5. Досудебный (внесудебный) порядок обжалования решений</w:t>
      </w:r>
    </w:p>
    <w:p>
      <w:pPr>
        <w:pStyle w:val="2"/>
        <w:jc w:val="center"/>
      </w:pPr>
      <w:r>
        <w:rPr>
          <w:sz w:val="24"/>
        </w:rPr>
        <w:t xml:space="preserve">и действий (бездействия) Департамента, а также</w:t>
      </w:r>
    </w:p>
    <w:p>
      <w:pPr>
        <w:pStyle w:val="2"/>
        <w:jc w:val="center"/>
      </w:pPr>
      <w:r>
        <w:rPr>
          <w:sz w:val="24"/>
        </w:rPr>
        <w:t xml:space="preserve">сотрудников/специалистов Департамента</w:t>
      </w:r>
    </w:p>
    <w:p>
      <w:pPr>
        <w:pStyle w:val="0"/>
        <w:jc w:val="both"/>
      </w:pPr>
      <w:r>
        <w:rPr>
          <w:sz w:val="24"/>
        </w:rPr>
      </w:r>
    </w:p>
    <w:p>
      <w:pPr>
        <w:pStyle w:val="0"/>
        <w:ind w:firstLine="540"/>
        <w:jc w:val="both"/>
      </w:pPr>
      <w:r>
        <w:rPr>
          <w:sz w:val="24"/>
        </w:rPr>
        <w:t xml:space="preserve">39. Обжалование решений и действий (бездействия) Департамента, а также сотрудников/специалистов Департамента осуществляется в соответствии с Федеральным </w:t>
      </w:r>
      <w:r>
        <w:rPr>
          <w:sz w:val="24"/>
        </w:rPr>
        <w:t xml:space="preserve">законом</w:t>
      </w:r>
      <w:r>
        <w:rPr>
          <w:sz w:val="24"/>
        </w:rPr>
        <w:t xml:space="preserve"> от 27 июля 2010 года N 210-ФЗ "Об организации предоставления государственных и муниципальных услуг".</w:t>
      </w:r>
    </w:p>
    <w:p>
      <w:pPr>
        <w:pStyle w:val="0"/>
        <w:spacing w:before="240" w:line-rule="auto"/>
        <w:ind w:firstLine="540"/>
        <w:jc w:val="both"/>
      </w:pPr>
      <w:r>
        <w:rPr>
          <w:sz w:val="24"/>
        </w:rPr>
        <w:t xml:space="preserve">40. Жалоба на решения и действия (бездействие) начальника Департамента подается на имя курирующего Департамент заместителя Губернатора Томской области.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"Присвоение</w:t>
      </w:r>
    </w:p>
    <w:p>
      <w:pPr>
        <w:pStyle w:val="0"/>
        <w:jc w:val="right"/>
      </w:pPr>
      <w:r>
        <w:rPr>
          <w:sz w:val="24"/>
        </w:rPr>
        <w:t xml:space="preserve">квалификационных категорий спортивных судей"</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В Департамент спорта Томской области</w:t>
            </w:r>
          </w:p>
        </w:tc>
      </w:tr>
      <w:tr>
        <w:tc>
          <w:tcPr>
            <w:tcW w:w="9071" w:type="dxa"/>
            <w:tcBorders>
              <w:top w:val="nil"/>
              <w:left w:val="nil"/>
              <w:bottom w:val="nil"/>
              <w:right w:val="nil"/>
            </w:tcBorders>
          </w:tcPr>
          <w:bookmarkStart w:id="263" w:name="P263"/>
          <w:bookmarkEnd w:id="263"/>
          <w:p>
            <w:pPr>
              <w:pStyle w:val="0"/>
              <w:jc w:val="center"/>
            </w:pPr>
            <w:r>
              <w:rPr>
                <w:sz w:val="24"/>
              </w:rPr>
              <w:t xml:space="preserve">Представление</w:t>
            </w:r>
          </w:p>
          <w:p>
            <w:pPr>
              <w:pStyle w:val="0"/>
              <w:jc w:val="both"/>
            </w:pPr>
            <w:r>
              <w:rPr>
                <w:sz w:val="24"/>
              </w:rPr>
              <w:t xml:space="preserve">Наименование организации ________________________________________________, просит присвоить квалификационную категорию спортивного судьи "спортивный судья первой категории" судьям, выполнившим требования Положения о спортивных судьях.</w:t>
            </w:r>
          </w:p>
          <w:p>
            <w:pPr>
              <w:pStyle w:val="0"/>
              <w:jc w:val="both"/>
            </w:pPr>
            <w:r>
              <w:rPr>
                <w:sz w:val="24"/>
              </w:rPr>
              <w:t xml:space="preserve">Вид спорта: ______________________________________________________________</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249"/>
        <w:gridCol w:w="1129"/>
        <w:gridCol w:w="1587"/>
        <w:gridCol w:w="1644"/>
        <w:gridCol w:w="1077"/>
        <w:gridCol w:w="964"/>
        <w:gridCol w:w="964"/>
      </w:tblGrid>
      <w:tr>
        <w:tc>
          <w:tcPr>
            <w:tcW w:w="454" w:type="dxa"/>
            <w:vAlign w:val="center"/>
          </w:tcPr>
          <w:p>
            <w:pPr>
              <w:pStyle w:val="0"/>
              <w:jc w:val="center"/>
            </w:pPr>
            <w:r>
              <w:rPr>
                <w:sz w:val="24"/>
              </w:rPr>
              <w:t xml:space="preserve">N п/п</w:t>
            </w:r>
          </w:p>
        </w:tc>
        <w:tc>
          <w:tcPr>
            <w:tcW w:w="1249" w:type="dxa"/>
            <w:vAlign w:val="center"/>
          </w:tcPr>
          <w:p>
            <w:pPr>
              <w:pStyle w:val="0"/>
              <w:jc w:val="center"/>
            </w:pPr>
            <w:r>
              <w:rPr>
                <w:sz w:val="24"/>
              </w:rPr>
              <w:t xml:space="preserve">Фамилия, Имя, Отчество (последнее - при наличии)</w:t>
            </w:r>
          </w:p>
        </w:tc>
        <w:tc>
          <w:tcPr>
            <w:tcW w:w="1129" w:type="dxa"/>
            <w:vAlign w:val="center"/>
          </w:tcPr>
          <w:p>
            <w:pPr>
              <w:pStyle w:val="0"/>
              <w:jc w:val="center"/>
            </w:pPr>
            <w:r>
              <w:rPr>
                <w:sz w:val="24"/>
              </w:rPr>
              <w:t xml:space="preserve">Дата рождения</w:t>
            </w:r>
          </w:p>
        </w:tc>
        <w:tc>
          <w:tcPr>
            <w:tcW w:w="1587" w:type="dxa"/>
            <w:vAlign w:val="center"/>
          </w:tcPr>
          <w:p>
            <w:pPr>
              <w:pStyle w:val="0"/>
              <w:jc w:val="center"/>
            </w:pPr>
            <w:r>
              <w:rPr>
                <w:sz w:val="24"/>
              </w:rPr>
              <w:t xml:space="preserve">Текущая квалификационная категория с указанием реквизитов документа о присвоении данной категории</w:t>
            </w:r>
          </w:p>
        </w:tc>
        <w:tc>
          <w:tcPr>
            <w:tcW w:w="1644" w:type="dxa"/>
            <w:vAlign w:val="center"/>
          </w:tcPr>
          <w:p>
            <w:pPr>
              <w:pStyle w:val="0"/>
              <w:jc w:val="center"/>
            </w:pPr>
            <w:r>
              <w:rPr>
                <w:sz w:val="24"/>
              </w:rPr>
              <w:t xml:space="preserve">Наименование организации, осуществляющей учет судейской деятельности спортивного судьи</w:t>
            </w:r>
          </w:p>
        </w:tc>
        <w:tc>
          <w:tcPr>
            <w:tcW w:w="1077" w:type="dxa"/>
            <w:vAlign w:val="center"/>
          </w:tcPr>
          <w:p>
            <w:pPr>
              <w:pStyle w:val="0"/>
              <w:jc w:val="center"/>
            </w:pPr>
            <w:r>
              <w:rPr>
                <w:sz w:val="24"/>
              </w:rPr>
              <w:t xml:space="preserve">Наименование и дата проведения соревнования</w:t>
            </w:r>
          </w:p>
        </w:tc>
        <w:tc>
          <w:tcPr>
            <w:tcW w:w="964" w:type="dxa"/>
            <w:vAlign w:val="center"/>
          </w:tcPr>
          <w:p>
            <w:pPr>
              <w:pStyle w:val="0"/>
              <w:jc w:val="center"/>
            </w:pPr>
            <w:r>
              <w:rPr>
                <w:sz w:val="24"/>
              </w:rPr>
              <w:t xml:space="preserve">Наименование должности спортивного судьи</w:t>
            </w:r>
          </w:p>
        </w:tc>
        <w:tc>
          <w:tcPr>
            <w:tcW w:w="964" w:type="dxa"/>
            <w:vAlign w:val="center"/>
          </w:tcPr>
          <w:p>
            <w:pPr>
              <w:pStyle w:val="0"/>
              <w:jc w:val="center"/>
            </w:pPr>
            <w:r>
              <w:rPr>
                <w:sz w:val="24"/>
              </w:rPr>
              <w:t xml:space="preserve">Оценка за судейство</w:t>
            </w:r>
          </w:p>
        </w:tc>
      </w:tr>
      <w:tr>
        <w:tc>
          <w:tcPr>
            <w:tcW w:w="454" w:type="dxa"/>
          </w:tcPr>
          <w:p>
            <w:pPr>
              <w:pStyle w:val="0"/>
              <w:jc w:val="center"/>
            </w:pPr>
            <w:r>
              <w:rPr>
                <w:sz w:val="24"/>
              </w:rPr>
              <w:t xml:space="preserve">1.</w:t>
            </w:r>
          </w:p>
        </w:tc>
        <w:tc>
          <w:tcPr>
            <w:tcW w:w="1249" w:type="dxa"/>
          </w:tcPr>
          <w:p>
            <w:pPr>
              <w:pStyle w:val="0"/>
            </w:pPr>
            <w:r>
              <w:rPr>
                <w:sz w:val="24"/>
              </w:rPr>
            </w:r>
          </w:p>
        </w:tc>
        <w:tc>
          <w:tcPr>
            <w:tcW w:w="1129" w:type="dxa"/>
          </w:tcPr>
          <w:p>
            <w:pPr>
              <w:pStyle w:val="0"/>
            </w:pPr>
            <w:r>
              <w:rPr>
                <w:sz w:val="24"/>
              </w:rPr>
            </w:r>
          </w:p>
        </w:tc>
        <w:tc>
          <w:tcPr>
            <w:tcW w:w="1587" w:type="dxa"/>
          </w:tcPr>
          <w:p>
            <w:pPr>
              <w:pStyle w:val="0"/>
            </w:pPr>
            <w:r>
              <w:rPr>
                <w:sz w:val="24"/>
              </w:rPr>
            </w:r>
          </w:p>
        </w:tc>
        <w:tc>
          <w:tcPr>
            <w:tcW w:w="1644" w:type="dxa"/>
          </w:tcPr>
          <w:p>
            <w:pPr>
              <w:pStyle w:val="0"/>
            </w:pPr>
            <w:r>
              <w:rPr>
                <w:sz w:val="24"/>
              </w:rPr>
            </w:r>
          </w:p>
        </w:tc>
        <w:tc>
          <w:tcPr>
            <w:tcW w:w="1077"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tcW w:w="454" w:type="dxa"/>
          </w:tcPr>
          <w:p>
            <w:pPr>
              <w:pStyle w:val="0"/>
              <w:jc w:val="center"/>
            </w:pPr>
            <w:r>
              <w:rPr>
                <w:sz w:val="24"/>
              </w:rPr>
              <w:t xml:space="preserve">2.</w:t>
            </w:r>
          </w:p>
        </w:tc>
        <w:tc>
          <w:tcPr>
            <w:tcW w:w="1249" w:type="dxa"/>
          </w:tcPr>
          <w:p>
            <w:pPr>
              <w:pStyle w:val="0"/>
            </w:pPr>
            <w:r>
              <w:rPr>
                <w:sz w:val="24"/>
              </w:rPr>
            </w:r>
          </w:p>
        </w:tc>
        <w:tc>
          <w:tcPr>
            <w:tcW w:w="1129" w:type="dxa"/>
          </w:tcPr>
          <w:p>
            <w:pPr>
              <w:pStyle w:val="0"/>
            </w:pPr>
            <w:r>
              <w:rPr>
                <w:sz w:val="24"/>
              </w:rPr>
            </w:r>
          </w:p>
        </w:tc>
        <w:tc>
          <w:tcPr>
            <w:tcW w:w="1587" w:type="dxa"/>
          </w:tcPr>
          <w:p>
            <w:pPr>
              <w:pStyle w:val="0"/>
            </w:pPr>
            <w:r>
              <w:rPr>
                <w:sz w:val="24"/>
              </w:rPr>
            </w:r>
          </w:p>
        </w:tc>
        <w:tc>
          <w:tcPr>
            <w:tcW w:w="1644" w:type="dxa"/>
          </w:tcPr>
          <w:p>
            <w:pPr>
              <w:pStyle w:val="0"/>
            </w:pPr>
            <w:r>
              <w:rPr>
                <w:sz w:val="24"/>
              </w:rPr>
            </w:r>
          </w:p>
        </w:tc>
        <w:tc>
          <w:tcPr>
            <w:tcW w:w="1077"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tcW w:w="454" w:type="dxa"/>
          </w:tcPr>
          <w:p>
            <w:pPr>
              <w:pStyle w:val="0"/>
              <w:jc w:val="center"/>
            </w:pPr>
            <w:r>
              <w:rPr>
                <w:sz w:val="24"/>
              </w:rPr>
              <w:t xml:space="preserve">3.</w:t>
            </w:r>
          </w:p>
        </w:tc>
        <w:tc>
          <w:tcPr>
            <w:tcW w:w="1249" w:type="dxa"/>
          </w:tcPr>
          <w:p>
            <w:pPr>
              <w:pStyle w:val="0"/>
            </w:pPr>
            <w:r>
              <w:rPr>
                <w:sz w:val="24"/>
              </w:rPr>
            </w:r>
          </w:p>
        </w:tc>
        <w:tc>
          <w:tcPr>
            <w:tcW w:w="1129" w:type="dxa"/>
          </w:tcPr>
          <w:p>
            <w:pPr>
              <w:pStyle w:val="0"/>
            </w:pPr>
            <w:r>
              <w:rPr>
                <w:sz w:val="24"/>
              </w:rPr>
            </w:r>
          </w:p>
        </w:tc>
        <w:tc>
          <w:tcPr>
            <w:tcW w:w="1587" w:type="dxa"/>
          </w:tcPr>
          <w:p>
            <w:pPr>
              <w:pStyle w:val="0"/>
            </w:pPr>
            <w:r>
              <w:rPr>
                <w:sz w:val="24"/>
              </w:rPr>
            </w:r>
          </w:p>
        </w:tc>
        <w:tc>
          <w:tcPr>
            <w:tcW w:w="1644" w:type="dxa"/>
          </w:tcPr>
          <w:p>
            <w:pPr>
              <w:pStyle w:val="0"/>
            </w:pPr>
            <w:r>
              <w:rPr>
                <w:sz w:val="24"/>
              </w:rPr>
            </w:r>
          </w:p>
        </w:tc>
        <w:tc>
          <w:tcPr>
            <w:tcW w:w="1077"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tcW w:w="454" w:type="dxa"/>
          </w:tcPr>
          <w:p>
            <w:pPr>
              <w:pStyle w:val="0"/>
              <w:jc w:val="center"/>
            </w:pPr>
            <w:r>
              <w:rPr>
                <w:sz w:val="24"/>
              </w:rPr>
              <w:t xml:space="preserve">4.</w:t>
            </w:r>
          </w:p>
        </w:tc>
        <w:tc>
          <w:tcPr>
            <w:tcW w:w="1249" w:type="dxa"/>
          </w:tcPr>
          <w:p>
            <w:pPr>
              <w:pStyle w:val="0"/>
            </w:pPr>
            <w:r>
              <w:rPr>
                <w:sz w:val="24"/>
              </w:rPr>
            </w:r>
          </w:p>
        </w:tc>
        <w:tc>
          <w:tcPr>
            <w:tcW w:w="1129" w:type="dxa"/>
          </w:tcPr>
          <w:p>
            <w:pPr>
              <w:pStyle w:val="0"/>
            </w:pPr>
            <w:r>
              <w:rPr>
                <w:sz w:val="24"/>
              </w:rPr>
            </w:r>
          </w:p>
        </w:tc>
        <w:tc>
          <w:tcPr>
            <w:tcW w:w="1587" w:type="dxa"/>
          </w:tcPr>
          <w:p>
            <w:pPr>
              <w:pStyle w:val="0"/>
            </w:pPr>
            <w:r>
              <w:rPr>
                <w:sz w:val="24"/>
              </w:rPr>
            </w:r>
          </w:p>
        </w:tc>
        <w:tc>
          <w:tcPr>
            <w:tcW w:w="1644" w:type="dxa"/>
          </w:tcPr>
          <w:p>
            <w:pPr>
              <w:pStyle w:val="0"/>
            </w:pPr>
            <w:r>
              <w:rPr>
                <w:sz w:val="24"/>
              </w:rPr>
            </w:r>
          </w:p>
        </w:tc>
        <w:tc>
          <w:tcPr>
            <w:tcW w:w="1077" w:type="dxa"/>
          </w:tcPr>
          <w:p>
            <w:pPr>
              <w:pStyle w:val="0"/>
            </w:pPr>
            <w:r>
              <w:rPr>
                <w:sz w:val="24"/>
              </w:rPr>
            </w:r>
          </w:p>
        </w:tc>
        <w:tc>
          <w:tcPr>
            <w:tcW w:w="964" w:type="dxa"/>
          </w:tcPr>
          <w:p>
            <w:pPr>
              <w:pStyle w:val="0"/>
            </w:pPr>
            <w:r>
              <w:rPr>
                <w:sz w:val="24"/>
              </w:rPr>
            </w:r>
          </w:p>
        </w:tc>
        <w:tc>
          <w:tcPr>
            <w:tcW w:w="964"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535"/>
        <w:gridCol w:w="1021"/>
        <w:gridCol w:w="1607"/>
        <w:gridCol w:w="1908"/>
      </w:tblGrid>
      <w:tr>
        <w:tc>
          <w:tcPr>
            <w:gridSpan w:val="4"/>
            <w:tcW w:w="9071" w:type="dxa"/>
            <w:tcBorders>
              <w:top w:val="nil"/>
              <w:left w:val="nil"/>
              <w:bottom w:val="nil"/>
              <w:right w:val="nil"/>
            </w:tcBorders>
          </w:tcPr>
          <w:p>
            <w:pPr>
              <w:pStyle w:val="0"/>
              <w:jc w:val="both"/>
            </w:pPr>
            <w:r>
              <w:rPr>
                <w:sz w:val="24"/>
              </w:rPr>
              <w:t xml:space="preserve">Дата __________ 20__ г.</w:t>
            </w:r>
          </w:p>
        </w:tc>
      </w:tr>
      <w:tr>
        <w:tc>
          <w:tcPr>
            <w:gridSpan w:val="4"/>
            <w:tcW w:w="9071" w:type="dxa"/>
            <w:tcBorders>
              <w:top w:val="nil"/>
              <w:left w:val="nil"/>
              <w:bottom w:val="nil"/>
              <w:right w:val="nil"/>
            </w:tcBorders>
          </w:tcPr>
          <w:p>
            <w:pPr>
              <w:pStyle w:val="0"/>
            </w:pPr>
            <w:r>
              <w:rPr>
                <w:sz w:val="24"/>
              </w:rPr>
              <w:t xml:space="preserve">Руководитель Федерации / организации &lt;*&gt;: _____________ /_______________ /</w:t>
            </w:r>
          </w:p>
        </w:tc>
      </w:tr>
      <w:tr>
        <w:tc>
          <w:tcPr>
            <w:gridSpan w:val="2"/>
            <w:tcW w:w="5556" w:type="dxa"/>
            <w:tcBorders>
              <w:top w:val="nil"/>
              <w:left w:val="nil"/>
              <w:bottom w:val="nil"/>
              <w:right w:val="nil"/>
            </w:tcBorders>
          </w:tcPr>
          <w:p>
            <w:pPr>
              <w:pStyle w:val="0"/>
            </w:pPr>
            <w:r>
              <w:rPr>
                <w:sz w:val="24"/>
              </w:rPr>
            </w:r>
          </w:p>
        </w:tc>
        <w:tc>
          <w:tcPr>
            <w:gridSpan w:val="2"/>
            <w:tcW w:w="3515" w:type="dxa"/>
            <w:tcBorders>
              <w:top w:val="nil"/>
              <w:left w:val="nil"/>
              <w:bottom w:val="nil"/>
              <w:right w:val="nil"/>
            </w:tcBorders>
          </w:tcPr>
          <w:p>
            <w:pPr>
              <w:pStyle w:val="0"/>
              <w:jc w:val="center"/>
            </w:pPr>
            <w:r>
              <w:rPr>
                <w:sz w:val="24"/>
              </w:rPr>
              <w:t xml:space="preserve">МП</w:t>
            </w:r>
          </w:p>
        </w:tc>
      </w:tr>
      <w:tr>
        <w:tc>
          <w:tcPr>
            <w:gridSpan w:val="4"/>
            <w:tcW w:w="9071" w:type="dxa"/>
            <w:tcBorders>
              <w:top w:val="nil"/>
              <w:left w:val="nil"/>
              <w:bottom w:val="nil"/>
              <w:right w:val="nil"/>
            </w:tcBorders>
          </w:tcPr>
          <w:p>
            <w:pPr>
              <w:pStyle w:val="0"/>
              <w:jc w:val="both"/>
            </w:pPr>
            <w:r>
              <w:rPr>
                <w:sz w:val="24"/>
              </w:rPr>
              <w:t xml:space="preserve">Контактный телефон ______________________</w:t>
            </w:r>
          </w:p>
        </w:tc>
      </w:tr>
      <w:tr>
        <w:tc>
          <w:tcPr>
            <w:gridSpan w:val="4"/>
            <w:tcW w:w="9071" w:type="dxa"/>
            <w:tcBorders>
              <w:top w:val="nil"/>
              <w:left w:val="nil"/>
              <w:bottom w:val="nil"/>
              <w:right w:val="nil"/>
            </w:tcBorders>
          </w:tcPr>
          <w:p>
            <w:pPr>
              <w:pStyle w:val="0"/>
              <w:jc w:val="both"/>
            </w:pPr>
            <w:r>
              <w:rPr>
                <w:sz w:val="24"/>
              </w:rPr>
              <w:t xml:space="preserve">Даю согласие на обработку мною предоставленных персональных данных</w:t>
            </w:r>
          </w:p>
        </w:tc>
      </w:tr>
      <w:tr>
        <w:tc>
          <w:tcPr>
            <w:tcW w:w="4535" w:type="dxa"/>
            <w:tcBorders>
              <w:top w:val="nil"/>
              <w:left w:val="nil"/>
              <w:bottom w:val="single" w:sz="4"/>
              <w:right w:val="nil"/>
            </w:tcBorders>
          </w:tcPr>
          <w:p>
            <w:pPr>
              <w:pStyle w:val="0"/>
            </w:pPr>
            <w:r>
              <w:rPr>
                <w:sz w:val="24"/>
              </w:rPr>
            </w:r>
          </w:p>
        </w:tc>
        <w:tc>
          <w:tcPr>
            <w:tcW w:w="1021" w:type="dxa"/>
            <w:tcBorders>
              <w:top w:val="nil"/>
              <w:left w:val="nil"/>
              <w:bottom w:val="nil"/>
              <w:right w:val="nil"/>
            </w:tcBorders>
          </w:tcPr>
          <w:p>
            <w:pPr>
              <w:pStyle w:val="0"/>
            </w:pPr>
            <w:r>
              <w:rPr>
                <w:sz w:val="24"/>
              </w:rPr>
            </w:r>
          </w:p>
        </w:tc>
        <w:tc>
          <w:tcPr>
            <w:tcW w:w="1607" w:type="dxa"/>
            <w:tcBorders>
              <w:top w:val="nil"/>
              <w:left w:val="nil"/>
              <w:bottom w:val="single" w:sz="4"/>
              <w:right w:val="nil"/>
            </w:tcBorders>
          </w:tcPr>
          <w:p>
            <w:pPr>
              <w:pStyle w:val="0"/>
            </w:pPr>
            <w:r>
              <w:rPr>
                <w:sz w:val="24"/>
              </w:rPr>
            </w:r>
          </w:p>
        </w:tc>
        <w:tc>
          <w:tcPr>
            <w:tcW w:w="1908" w:type="dxa"/>
            <w:tcBorders>
              <w:top w:val="nil"/>
              <w:left w:val="nil"/>
              <w:bottom w:val="nil"/>
              <w:right w:val="nil"/>
            </w:tcBorders>
          </w:tcPr>
          <w:p>
            <w:pPr>
              <w:pStyle w:val="0"/>
            </w:pPr>
            <w:r>
              <w:rPr>
                <w:sz w:val="24"/>
              </w:rPr>
            </w:r>
          </w:p>
        </w:tc>
      </w:tr>
      <w:tr>
        <w:tc>
          <w:tcPr>
            <w:tcW w:w="4535" w:type="dxa"/>
            <w:tcBorders>
              <w:top w:val="single" w:sz="4"/>
              <w:left w:val="nil"/>
              <w:bottom w:val="nil"/>
              <w:right w:val="nil"/>
            </w:tcBorders>
          </w:tcPr>
          <w:p>
            <w:pPr>
              <w:pStyle w:val="0"/>
            </w:pPr>
            <w:r>
              <w:rPr>
                <w:sz w:val="24"/>
              </w:rPr>
              <w:t xml:space="preserve">(подпись, ФИО (последнее - при наличии)</w:t>
            </w:r>
          </w:p>
        </w:tc>
        <w:tc>
          <w:tcPr>
            <w:tcW w:w="1021" w:type="dxa"/>
            <w:tcBorders>
              <w:top w:val="nil"/>
              <w:left w:val="nil"/>
              <w:bottom w:val="nil"/>
              <w:right w:val="nil"/>
            </w:tcBorders>
          </w:tcPr>
          <w:p>
            <w:pPr>
              <w:pStyle w:val="0"/>
            </w:pPr>
            <w:r>
              <w:rPr>
                <w:sz w:val="24"/>
              </w:rPr>
            </w:r>
          </w:p>
        </w:tc>
        <w:tc>
          <w:tcPr>
            <w:tcW w:w="1607" w:type="dxa"/>
            <w:tcBorders>
              <w:top w:val="single" w:sz="4"/>
              <w:left w:val="nil"/>
              <w:bottom w:val="nil"/>
              <w:right w:val="nil"/>
            </w:tcBorders>
          </w:tcPr>
          <w:p>
            <w:pPr>
              <w:pStyle w:val="0"/>
              <w:jc w:val="center"/>
            </w:pPr>
            <w:r>
              <w:rPr>
                <w:sz w:val="24"/>
              </w:rPr>
              <w:t xml:space="preserve">(дата)</w:t>
            </w:r>
          </w:p>
        </w:tc>
        <w:tc>
          <w:tcPr>
            <w:tcW w:w="1908" w:type="dxa"/>
            <w:tcBorders>
              <w:top w:val="nil"/>
              <w:left w:val="nil"/>
              <w:bottom w:val="nil"/>
              <w:right w:val="nil"/>
            </w:tcBorders>
          </w:tcPr>
          <w:p>
            <w:pPr>
              <w:pStyle w:val="0"/>
            </w:pPr>
            <w:r>
              <w:rPr>
                <w:sz w:val="24"/>
              </w:rPr>
            </w:r>
          </w:p>
        </w:tc>
      </w:tr>
      <w:tr>
        <w:tc>
          <w:tcPr>
            <w:gridSpan w:val="4"/>
            <w:tcW w:w="9071" w:type="dxa"/>
            <w:tcBorders>
              <w:top w:val="nil"/>
              <w:left w:val="nil"/>
              <w:bottom w:val="nil"/>
              <w:right w:val="nil"/>
            </w:tcBorders>
          </w:tcPr>
          <w:p>
            <w:pPr>
              <w:pStyle w:val="0"/>
              <w:ind w:firstLine="283"/>
              <w:jc w:val="both"/>
            </w:pPr>
            <w:r>
              <w:rPr>
                <w:sz w:val="24"/>
              </w:rPr>
              <w:t xml:space="preserve">--------------------------------</w:t>
            </w:r>
          </w:p>
          <w:p>
            <w:pPr>
              <w:pStyle w:val="0"/>
              <w:ind w:firstLine="283"/>
              <w:jc w:val="both"/>
            </w:pPr>
            <w:r>
              <w:rPr>
                <w:sz w:val="24"/>
              </w:rPr>
              <w:t xml:space="preserve">&lt;*&gt; в случае отсутствия на территории Томской области аккредитованной федерации по виду спорта</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"Присвоение</w:t>
      </w:r>
    </w:p>
    <w:p>
      <w:pPr>
        <w:pStyle w:val="0"/>
        <w:jc w:val="right"/>
      </w:pPr>
      <w:r>
        <w:rPr>
          <w:sz w:val="24"/>
        </w:rPr>
        <w:t xml:space="preserve">квалификационных категорий спортивных судей"</w:t>
      </w:r>
    </w:p>
    <w:p>
      <w:pPr>
        <w:pStyle w:val="0"/>
        <w:jc w:val="both"/>
      </w:pPr>
      <w:r>
        <w:rPr>
          <w:sz w:val="24"/>
        </w:rPr>
      </w:r>
    </w:p>
    <w:bookmarkStart w:id="334" w:name="P334"/>
    <w:bookmarkEnd w:id="334"/>
    <w:p>
      <w:pPr>
        <w:pStyle w:val="0"/>
        <w:jc w:val="center"/>
      </w:pPr>
      <w:r>
        <w:rPr>
          <w:sz w:val="24"/>
        </w:rPr>
        <w:t xml:space="preserve">Карточка учета судейской деятельности спортивного судьи</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639"/>
        <w:gridCol w:w="1304"/>
        <w:gridCol w:w="1039"/>
        <w:gridCol w:w="949"/>
        <w:gridCol w:w="1766"/>
        <w:gridCol w:w="915"/>
        <w:gridCol w:w="964"/>
        <w:gridCol w:w="907"/>
        <w:gridCol w:w="752"/>
        <w:gridCol w:w="962"/>
      </w:tblGrid>
      <w:tr>
        <w:tc>
          <w:tcPr>
            <w:gridSpan w:val="5"/>
            <w:tcW w:w="7255" w:type="dxa"/>
            <w:vMerge w:val="restart"/>
          </w:tcPr>
          <w:p>
            <w:pPr>
              <w:pStyle w:val="0"/>
              <w:jc w:val="center"/>
            </w:pPr>
            <w:r>
              <w:rPr>
                <w:sz w:val="24"/>
              </w:rPr>
              <w:t xml:space="preserve">КАРТОЧКА УЧЕТА СУДЕЙСКОЙ ДЕЯТЕЛЬНОСТИ СПОРТИВНОГО СУДЬИ</w:t>
            </w:r>
          </w:p>
        </w:tc>
        <w:tc>
          <w:tcPr>
            <w:gridSpan w:val="2"/>
            <w:tcW w:w="2681" w:type="dxa"/>
          </w:tcPr>
          <w:p>
            <w:pPr>
              <w:pStyle w:val="0"/>
              <w:jc w:val="center"/>
            </w:pPr>
            <w:r>
              <w:rPr>
                <w:sz w:val="24"/>
              </w:rPr>
              <w:t xml:space="preserve">Наименование вида спорта</w:t>
            </w:r>
          </w:p>
        </w:tc>
        <w:tc>
          <w:tcPr>
            <w:gridSpan w:val="4"/>
            <w:tcW w:w="3585" w:type="dxa"/>
          </w:tcPr>
          <w:p>
            <w:pPr>
              <w:pStyle w:val="0"/>
            </w:pPr>
            <w:r>
              <w:rPr>
                <w:sz w:val="24"/>
              </w:rPr>
            </w:r>
          </w:p>
        </w:tc>
      </w:tr>
      <w:tr>
        <w:tc>
          <w:tcPr>
            <w:gridSpan w:val="5"/>
            <w:vMerge w:val="continue"/>
          </w:tcPr>
          <w:p/>
        </w:tc>
        <w:tc>
          <w:tcPr>
            <w:gridSpan w:val="2"/>
            <w:tcW w:w="2681" w:type="dxa"/>
          </w:tcPr>
          <w:p>
            <w:pPr>
              <w:pStyle w:val="0"/>
            </w:pPr>
            <w:r>
              <w:rPr>
                <w:sz w:val="24"/>
              </w:rPr>
              <w:t xml:space="preserve">Номер-код вида спорта</w:t>
            </w:r>
          </w:p>
        </w:tc>
        <w:tc>
          <w:tcPr>
            <w:gridSpan w:val="4"/>
            <w:tcW w:w="3585" w:type="dxa"/>
          </w:tcPr>
          <w:p>
            <w:pPr>
              <w:pStyle w:val="0"/>
            </w:pPr>
            <w:r>
              <w:rPr>
                <w:sz w:val="24"/>
              </w:rPr>
            </w:r>
          </w:p>
        </w:tc>
      </w:tr>
      <w:tr>
        <w:tc>
          <w:tcPr>
            <w:tcW w:w="2324" w:type="dxa"/>
            <w:vMerge w:val="restart"/>
          </w:tcPr>
          <w:p>
            <w:pPr>
              <w:pStyle w:val="0"/>
              <w:jc w:val="center"/>
            </w:pPr>
            <w:r>
              <w:rPr>
                <w:sz w:val="24"/>
              </w:rPr>
              <w:t xml:space="preserve">Фамилия</w:t>
            </w:r>
          </w:p>
        </w:tc>
        <w:tc>
          <w:tcPr>
            <w:tcW w:w="1639" w:type="dxa"/>
            <w:vMerge w:val="restart"/>
          </w:tcPr>
          <w:p>
            <w:pPr>
              <w:pStyle w:val="0"/>
            </w:pPr>
            <w:r>
              <w:rPr>
                <w:sz w:val="24"/>
              </w:rPr>
            </w:r>
          </w:p>
        </w:tc>
        <w:tc>
          <w:tcPr>
            <w:gridSpan w:val="2"/>
            <w:tcW w:w="2343" w:type="dxa"/>
            <w:vMerge w:val="restart"/>
          </w:tcPr>
          <w:p>
            <w:pPr>
              <w:pStyle w:val="0"/>
              <w:jc w:val="center"/>
            </w:pPr>
            <w:r>
              <w:rPr>
                <w:sz w:val="24"/>
              </w:rPr>
              <w:t xml:space="preserve">Имя</w:t>
            </w:r>
          </w:p>
        </w:tc>
        <w:tc>
          <w:tcPr>
            <w:tcW w:w="949" w:type="dxa"/>
            <w:vMerge w:val="restart"/>
          </w:tcPr>
          <w:p>
            <w:pPr>
              <w:pStyle w:val="0"/>
            </w:pPr>
            <w:r>
              <w:rPr>
                <w:sz w:val="24"/>
              </w:rPr>
            </w:r>
          </w:p>
        </w:tc>
        <w:tc>
          <w:tcPr>
            <w:tcW w:w="1766" w:type="dxa"/>
            <w:vMerge w:val="restart"/>
          </w:tcPr>
          <w:p>
            <w:pPr>
              <w:pStyle w:val="0"/>
              <w:jc w:val="center"/>
            </w:pPr>
            <w:r>
              <w:rPr>
                <w:sz w:val="24"/>
              </w:rPr>
              <w:t xml:space="preserve">Отчество (при наличии)</w:t>
            </w:r>
          </w:p>
        </w:tc>
        <w:tc>
          <w:tcPr>
            <w:tcW w:w="915" w:type="dxa"/>
            <w:vMerge w:val="restart"/>
          </w:tcPr>
          <w:p>
            <w:pPr>
              <w:pStyle w:val="0"/>
            </w:pPr>
            <w:r>
              <w:rPr>
                <w:sz w:val="24"/>
              </w:rPr>
            </w:r>
          </w:p>
        </w:tc>
        <w:tc>
          <w:tcPr>
            <w:gridSpan w:val="3"/>
            <w:tcW w:w="2623" w:type="dxa"/>
          </w:tcPr>
          <w:p>
            <w:pPr>
              <w:pStyle w:val="0"/>
              <w:jc w:val="center"/>
            </w:pPr>
            <w:r>
              <w:rPr>
                <w:sz w:val="24"/>
              </w:rPr>
              <w:t xml:space="preserve">Дата рождения</w:t>
            </w:r>
          </w:p>
        </w:tc>
        <w:tc>
          <w:tcPr>
            <w:tcW w:w="962" w:type="dxa"/>
            <w:vMerge w:val="restart"/>
          </w:tcPr>
          <w:p>
            <w:pPr>
              <w:pStyle w:val="0"/>
              <w:jc w:val="center"/>
            </w:pPr>
            <w:r>
              <w:rPr>
                <w:sz w:val="24"/>
              </w:rPr>
              <w:t xml:space="preserve">Фото 3x4 см</w:t>
            </w:r>
          </w:p>
        </w:tc>
      </w:tr>
      <w:tr>
        <w:tc>
          <w:tcPr>
            <w:vMerge w:val="continue"/>
          </w:tcPr>
          <w:p/>
        </w:tc>
        <w:tc>
          <w:tcPr>
            <w:vMerge w:val="continue"/>
          </w:tcPr>
          <w:p/>
        </w:tc>
        <w:tc>
          <w:tcPr>
            <w:gridSpan w:val="2"/>
            <w:vMerge w:val="continue"/>
          </w:tcPr>
          <w:p/>
        </w:tc>
        <w:tc>
          <w:tcPr>
            <w:vMerge w:val="continue"/>
          </w:tcPr>
          <w:p/>
        </w:tc>
        <w:tc>
          <w:tcPr>
            <w:vMerge w:val="continue"/>
          </w:tcPr>
          <w:p/>
        </w:tc>
        <w:tc>
          <w:tcPr>
            <w:vMerge w:val="continue"/>
          </w:tcPr>
          <w:p/>
        </w:tc>
        <w:tc>
          <w:tcPr>
            <w:tcW w:w="964" w:type="dxa"/>
          </w:tcPr>
          <w:p>
            <w:pPr>
              <w:pStyle w:val="0"/>
              <w:jc w:val="both"/>
            </w:pPr>
            <w:r>
              <w:rPr>
                <w:sz w:val="24"/>
              </w:rPr>
              <w:t xml:space="preserve">число</w:t>
            </w:r>
          </w:p>
        </w:tc>
        <w:tc>
          <w:tcPr>
            <w:tcW w:w="907" w:type="dxa"/>
          </w:tcPr>
          <w:p>
            <w:pPr>
              <w:pStyle w:val="0"/>
            </w:pPr>
            <w:r>
              <w:rPr>
                <w:sz w:val="24"/>
              </w:rPr>
              <w:t xml:space="preserve">месяц</w:t>
            </w:r>
          </w:p>
        </w:tc>
        <w:tc>
          <w:tcPr>
            <w:tcW w:w="752" w:type="dxa"/>
          </w:tcPr>
          <w:p>
            <w:pPr>
              <w:pStyle w:val="0"/>
              <w:jc w:val="center"/>
            </w:pPr>
            <w:r>
              <w:rPr>
                <w:sz w:val="24"/>
              </w:rPr>
              <w:t xml:space="preserve">год</w:t>
            </w:r>
          </w:p>
        </w:tc>
        <w:tc>
          <w:tcPr>
            <w:vMerge w:val="continue"/>
          </w:tcPr>
          <w:p/>
        </w:tc>
      </w:tr>
      <w:tr>
        <w:tc>
          <w:tcPr>
            <w:tcW w:w="2324" w:type="dxa"/>
            <w:vMerge w:val="restart"/>
          </w:tcPr>
          <w:p>
            <w:pPr>
              <w:pStyle w:val="0"/>
              <w:jc w:val="center"/>
            </w:pPr>
            <w:r>
              <w:rPr>
                <w:sz w:val="24"/>
              </w:rPr>
              <w:t xml:space="preserve">Субъект Российской Федерации</w:t>
            </w:r>
          </w:p>
        </w:tc>
        <w:tc>
          <w:tcPr>
            <w:tcW w:w="1639" w:type="dxa"/>
            <w:vMerge w:val="restart"/>
          </w:tcPr>
          <w:p>
            <w:pPr>
              <w:pStyle w:val="0"/>
            </w:pPr>
            <w:r>
              <w:rPr>
                <w:sz w:val="24"/>
              </w:rPr>
            </w:r>
          </w:p>
        </w:tc>
        <w:tc>
          <w:tcPr>
            <w:gridSpan w:val="2"/>
            <w:tcW w:w="2343" w:type="dxa"/>
            <w:vMerge w:val="restart"/>
          </w:tcPr>
          <w:p>
            <w:pPr>
              <w:pStyle w:val="0"/>
              <w:jc w:val="center"/>
            </w:pPr>
            <w:r>
              <w:rPr>
                <w:sz w:val="24"/>
              </w:rPr>
              <w:t xml:space="preserve">Муниципальное образование</w:t>
            </w:r>
          </w:p>
        </w:tc>
        <w:tc>
          <w:tcPr>
            <w:tcW w:w="949" w:type="dxa"/>
            <w:vMerge w:val="restart"/>
          </w:tcPr>
          <w:p>
            <w:pPr>
              <w:pStyle w:val="0"/>
            </w:pPr>
            <w:r>
              <w:rPr>
                <w:sz w:val="24"/>
              </w:rPr>
            </w:r>
          </w:p>
        </w:tc>
        <w:tc>
          <w:tcPr>
            <w:tcW w:w="1766" w:type="dxa"/>
            <w:vMerge w:val="restart"/>
          </w:tcPr>
          <w:p>
            <w:pPr>
              <w:pStyle w:val="0"/>
              <w:jc w:val="center"/>
            </w:pPr>
            <w:r>
              <w:rPr>
                <w:sz w:val="24"/>
              </w:rPr>
              <w:t xml:space="preserve">Спортивное звание в данном виде спорта (при наличии)</w:t>
            </w:r>
          </w:p>
        </w:tc>
        <w:tc>
          <w:tcPr>
            <w:tcW w:w="915" w:type="dxa"/>
            <w:vMerge w:val="restart"/>
          </w:tcPr>
          <w:p>
            <w:pPr>
              <w:pStyle w:val="0"/>
            </w:pPr>
            <w:r>
              <w:rPr>
                <w:sz w:val="24"/>
              </w:rPr>
            </w:r>
          </w:p>
        </w:tc>
        <w:tc>
          <w:tcPr>
            <w:tcW w:w="964" w:type="dxa"/>
          </w:tcPr>
          <w:p>
            <w:pPr>
              <w:pStyle w:val="0"/>
            </w:pPr>
            <w:r>
              <w:rPr>
                <w:sz w:val="24"/>
              </w:rPr>
            </w:r>
          </w:p>
        </w:tc>
        <w:tc>
          <w:tcPr>
            <w:tcW w:w="907" w:type="dxa"/>
          </w:tcPr>
          <w:p>
            <w:pPr>
              <w:pStyle w:val="0"/>
            </w:pPr>
            <w:r>
              <w:rPr>
                <w:sz w:val="24"/>
              </w:rPr>
            </w:r>
          </w:p>
        </w:tc>
        <w:tc>
          <w:tcPr>
            <w:tcW w:w="752" w:type="dxa"/>
          </w:tcPr>
          <w:p>
            <w:pPr>
              <w:pStyle w:val="0"/>
            </w:pPr>
            <w:r>
              <w:rPr>
                <w:sz w:val="24"/>
              </w:rPr>
            </w:r>
          </w:p>
        </w:tc>
        <w:tc>
          <w:tcPr>
            <w:vMerge w:val="continue"/>
          </w:tcPr>
          <w:p/>
        </w:tc>
      </w:tr>
      <w:tr>
        <w:tc>
          <w:tcPr>
            <w:vMerge w:val="continue"/>
          </w:tcPr>
          <w:p/>
        </w:tc>
        <w:tc>
          <w:tcPr>
            <w:vMerge w:val="continue"/>
          </w:tcPr>
          <w:p/>
        </w:tc>
        <w:tc>
          <w:tcPr>
            <w:gridSpan w:val="2"/>
            <w:vMerge w:val="continue"/>
          </w:tcPr>
          <w:p/>
        </w:tc>
        <w:tc>
          <w:tcPr>
            <w:vMerge w:val="continue"/>
          </w:tcPr>
          <w:p/>
        </w:tc>
        <w:tc>
          <w:tcPr>
            <w:vMerge w:val="continue"/>
          </w:tcPr>
          <w:p/>
        </w:tc>
        <w:tc>
          <w:tcPr>
            <w:vMerge w:val="continue"/>
          </w:tcPr>
          <w:p/>
        </w:tc>
        <w:tc>
          <w:tcPr>
            <w:gridSpan w:val="3"/>
            <w:tcW w:w="2623" w:type="dxa"/>
          </w:tcPr>
          <w:p>
            <w:pPr>
              <w:pStyle w:val="0"/>
              <w:jc w:val="center"/>
            </w:pPr>
            <w:r>
              <w:rPr>
                <w:sz w:val="24"/>
              </w:rPr>
              <w:t xml:space="preserve">Дата начала судейской деятельности спортивного судьи</w:t>
            </w:r>
          </w:p>
        </w:tc>
        <w:tc>
          <w:tcPr>
            <w:vMerge w:val="continue"/>
          </w:tcPr>
          <w:p/>
        </w:tc>
      </w:tr>
      <w:tr>
        <w:tc>
          <w:tcPr>
            <w:vMerge w:val="continue"/>
          </w:tcPr>
          <w:p/>
        </w:tc>
        <w:tc>
          <w:tcPr>
            <w:vMerge w:val="continue"/>
          </w:tcPr>
          <w:p/>
        </w:tc>
        <w:tc>
          <w:tcPr>
            <w:gridSpan w:val="2"/>
            <w:vMerge w:val="continue"/>
          </w:tcPr>
          <w:p/>
        </w:tc>
        <w:tc>
          <w:tcPr>
            <w:vMerge w:val="continue"/>
          </w:tcPr>
          <w:p/>
        </w:tc>
        <w:tc>
          <w:tcPr>
            <w:vMerge w:val="continue"/>
          </w:tcPr>
          <w:p/>
        </w:tc>
        <w:tc>
          <w:tcPr>
            <w:vMerge w:val="continue"/>
          </w:tcPr>
          <w:p/>
        </w:tc>
        <w:tc>
          <w:tcPr>
            <w:tcW w:w="964" w:type="dxa"/>
          </w:tcPr>
          <w:p>
            <w:pPr>
              <w:pStyle w:val="0"/>
              <w:jc w:val="both"/>
            </w:pPr>
            <w:r>
              <w:rPr>
                <w:sz w:val="24"/>
              </w:rPr>
              <w:t xml:space="preserve">число</w:t>
            </w:r>
          </w:p>
        </w:tc>
        <w:tc>
          <w:tcPr>
            <w:tcW w:w="907" w:type="dxa"/>
          </w:tcPr>
          <w:p>
            <w:pPr>
              <w:pStyle w:val="0"/>
            </w:pPr>
            <w:r>
              <w:rPr>
                <w:sz w:val="24"/>
              </w:rPr>
              <w:t xml:space="preserve">месяц</w:t>
            </w:r>
          </w:p>
        </w:tc>
        <w:tc>
          <w:tcPr>
            <w:tcW w:w="752" w:type="dxa"/>
          </w:tcPr>
          <w:p>
            <w:pPr>
              <w:pStyle w:val="0"/>
              <w:jc w:val="center"/>
            </w:pPr>
            <w:r>
              <w:rPr>
                <w:sz w:val="24"/>
              </w:rPr>
              <w:t xml:space="preserve">год</w:t>
            </w:r>
          </w:p>
        </w:tc>
        <w:tc>
          <w:tcPr>
            <w:vMerge w:val="continue"/>
          </w:tcPr>
          <w:p/>
        </w:tc>
      </w:tr>
      <w:tr>
        <w:tc>
          <w:tcPr>
            <w:gridSpan w:val="2"/>
            <w:tcW w:w="3963" w:type="dxa"/>
          </w:tcPr>
          <w:p>
            <w:pPr>
              <w:pStyle w:val="0"/>
            </w:pPr>
            <w:r>
              <w:rPr>
                <w:sz w:val="24"/>
              </w:rPr>
              <w:t xml:space="preserve">Образование</w:t>
            </w:r>
          </w:p>
        </w:tc>
        <w:tc>
          <w:tcPr>
            <w:gridSpan w:val="5"/>
            <w:tcW w:w="5973" w:type="dxa"/>
          </w:tcPr>
          <w:p>
            <w:pPr>
              <w:pStyle w:val="0"/>
            </w:pPr>
            <w:r>
              <w:rPr>
                <w:sz w:val="24"/>
              </w:rPr>
            </w:r>
          </w:p>
        </w:tc>
        <w:tc>
          <w:tcPr>
            <w:tcW w:w="964" w:type="dxa"/>
          </w:tcPr>
          <w:p>
            <w:pPr>
              <w:pStyle w:val="0"/>
            </w:pPr>
            <w:r>
              <w:rPr>
                <w:sz w:val="24"/>
              </w:rPr>
            </w:r>
          </w:p>
        </w:tc>
        <w:tc>
          <w:tcPr>
            <w:tcW w:w="907" w:type="dxa"/>
          </w:tcPr>
          <w:p>
            <w:pPr>
              <w:pStyle w:val="0"/>
            </w:pPr>
            <w:r>
              <w:rPr>
                <w:sz w:val="24"/>
              </w:rPr>
            </w:r>
          </w:p>
        </w:tc>
        <w:tc>
          <w:tcPr>
            <w:tcW w:w="752" w:type="dxa"/>
          </w:tcPr>
          <w:p>
            <w:pPr>
              <w:pStyle w:val="0"/>
            </w:pPr>
            <w:r>
              <w:rPr>
                <w:sz w:val="24"/>
              </w:rPr>
            </w:r>
          </w:p>
        </w:tc>
        <w:tc>
          <w:tcPr>
            <w:tcW w:w="962" w:type="dxa"/>
          </w:tcPr>
          <w:p>
            <w:pPr>
              <w:pStyle w:val="0"/>
            </w:pPr>
            <w:r>
              <w:rPr>
                <w:sz w:val="24"/>
              </w:rPr>
            </w:r>
          </w:p>
        </w:tc>
      </w:tr>
      <w:tr>
        <w:tc>
          <w:tcPr>
            <w:gridSpan w:val="2"/>
            <w:tcW w:w="3963" w:type="dxa"/>
          </w:tcPr>
          <w:p>
            <w:pPr>
              <w:pStyle w:val="0"/>
            </w:pPr>
            <w:r>
              <w:rPr>
                <w:sz w:val="24"/>
              </w:rPr>
              <w:t xml:space="preserve">Место работы (учебы), должность</w:t>
            </w:r>
          </w:p>
        </w:tc>
        <w:tc>
          <w:tcPr>
            <w:gridSpan w:val="9"/>
            <w:tcW w:w="9558" w:type="dxa"/>
          </w:tcPr>
          <w:p>
            <w:pPr>
              <w:pStyle w:val="0"/>
            </w:pPr>
            <w:r>
              <w:rPr>
                <w:sz w:val="24"/>
              </w:rPr>
            </w:r>
          </w:p>
        </w:tc>
      </w:tr>
      <w:tr>
        <w:tc>
          <w:tcPr>
            <w:gridSpan w:val="2"/>
            <w:tcW w:w="3963" w:type="dxa"/>
          </w:tcPr>
          <w:p>
            <w:pPr>
              <w:pStyle w:val="0"/>
            </w:pPr>
            <w:r>
              <w:rPr>
                <w:sz w:val="24"/>
              </w:rPr>
              <w:t xml:space="preserve">Контактные телефоны, адрес электронной почты</w:t>
            </w:r>
          </w:p>
        </w:tc>
        <w:tc>
          <w:tcPr>
            <w:gridSpan w:val="9"/>
            <w:tcW w:w="9558" w:type="dxa"/>
          </w:tcPr>
          <w:p>
            <w:pPr>
              <w:pStyle w:val="0"/>
            </w:pPr>
            <w:r>
              <w:rPr>
                <w:sz w:val="24"/>
              </w:rPr>
            </w:r>
          </w:p>
        </w:tc>
      </w:tr>
      <w:tr>
        <w:tc>
          <w:tcPr>
            <w:gridSpan w:val="11"/>
            <w:tcW w:w="13521" w:type="dxa"/>
          </w:tcPr>
          <w:p>
            <w:pPr>
              <w:pStyle w:val="0"/>
              <w:jc w:val="center"/>
            </w:pPr>
            <w:r>
              <w:rPr>
                <w:sz w:val="24"/>
              </w:rPr>
              <w:t xml:space="preserve">Организация, осуществляющая учет судейской деятельности спортивного судьи</w:t>
            </w:r>
          </w:p>
        </w:tc>
      </w:tr>
      <w:tr>
        <w:tc>
          <w:tcPr>
            <w:tcW w:w="2324" w:type="dxa"/>
          </w:tcPr>
          <w:p>
            <w:pPr>
              <w:pStyle w:val="0"/>
              <w:jc w:val="center"/>
            </w:pPr>
            <w:r>
              <w:rPr>
                <w:sz w:val="24"/>
              </w:rPr>
              <w:t xml:space="preserve">Наименование</w:t>
            </w:r>
          </w:p>
        </w:tc>
        <w:tc>
          <w:tcPr>
            <w:gridSpan w:val="3"/>
            <w:tcW w:w="3982" w:type="dxa"/>
          </w:tcPr>
          <w:p>
            <w:pPr>
              <w:pStyle w:val="0"/>
            </w:pPr>
            <w:r>
              <w:rPr>
                <w:sz w:val="24"/>
              </w:rPr>
            </w:r>
          </w:p>
        </w:tc>
        <w:tc>
          <w:tcPr>
            <w:gridSpan w:val="2"/>
            <w:tcW w:w="2715" w:type="dxa"/>
          </w:tcPr>
          <w:p>
            <w:pPr>
              <w:pStyle w:val="0"/>
              <w:jc w:val="center"/>
            </w:pPr>
            <w:r>
              <w:rPr>
                <w:sz w:val="24"/>
              </w:rPr>
              <w:t xml:space="preserve">Адрес (место нахождения)</w:t>
            </w:r>
          </w:p>
        </w:tc>
        <w:tc>
          <w:tcPr>
            <w:tcW w:w="915" w:type="dxa"/>
          </w:tcPr>
          <w:p>
            <w:pPr>
              <w:pStyle w:val="0"/>
            </w:pPr>
            <w:r>
              <w:rPr>
                <w:sz w:val="24"/>
              </w:rPr>
            </w:r>
          </w:p>
        </w:tc>
        <w:tc>
          <w:tcPr>
            <w:gridSpan w:val="2"/>
            <w:tcW w:w="1871" w:type="dxa"/>
          </w:tcPr>
          <w:p>
            <w:pPr>
              <w:pStyle w:val="0"/>
              <w:jc w:val="center"/>
            </w:pPr>
            <w:r>
              <w:rPr>
                <w:sz w:val="24"/>
              </w:rPr>
              <w:t xml:space="preserve">Телефон, адрес электронной почты</w:t>
            </w:r>
          </w:p>
        </w:tc>
        <w:tc>
          <w:tcPr>
            <w:gridSpan w:val="2"/>
            <w:tcW w:w="1714" w:type="dxa"/>
          </w:tcPr>
          <w:p>
            <w:pPr>
              <w:pStyle w:val="0"/>
            </w:pPr>
            <w:r>
              <w:rPr>
                <w:sz w:val="24"/>
              </w:rPr>
            </w:r>
          </w:p>
        </w:tc>
      </w:tr>
      <w:tr>
        <w:tc>
          <w:tcPr>
            <w:tcW w:w="2324" w:type="dxa"/>
            <w:vMerge w:val="restart"/>
          </w:tcPr>
          <w:p>
            <w:pPr>
              <w:pStyle w:val="0"/>
              <w:jc w:val="center"/>
            </w:pPr>
            <w:r>
              <w:rPr>
                <w:sz w:val="24"/>
              </w:rPr>
              <w:t xml:space="preserve">Наименование квалификационной категории спортивного судьи</w:t>
            </w:r>
          </w:p>
        </w:tc>
        <w:tc>
          <w:tcPr>
            <w:tcW w:w="1639" w:type="dxa"/>
            <w:vMerge w:val="restart"/>
          </w:tcPr>
          <w:p>
            <w:pPr>
              <w:pStyle w:val="0"/>
              <w:jc w:val="center"/>
            </w:pPr>
            <w:r>
              <w:rPr>
                <w:sz w:val="24"/>
              </w:rPr>
              <w:t xml:space="preserve">Присвоена/ подтверждена/</w:t>
            </w:r>
          </w:p>
        </w:tc>
        <w:tc>
          <w:tcPr>
            <w:gridSpan w:val="2"/>
            <w:tcW w:w="2343" w:type="dxa"/>
          </w:tcPr>
          <w:p>
            <w:pPr>
              <w:pStyle w:val="0"/>
              <w:jc w:val="center"/>
            </w:pPr>
            <w:r>
              <w:rPr>
                <w:sz w:val="24"/>
              </w:rPr>
              <w:t xml:space="preserve">Реквизиты документа о присвоении/ подтверждении</w:t>
            </w:r>
          </w:p>
        </w:tc>
        <w:tc>
          <w:tcPr>
            <w:gridSpan w:val="3"/>
            <w:tcW w:w="3630" w:type="dxa"/>
            <w:vMerge w:val="restart"/>
          </w:tcPr>
          <w:p>
            <w:pPr>
              <w:pStyle w:val="0"/>
              <w:jc w:val="center"/>
            </w:pPr>
            <w:r>
              <w:rPr>
                <w:sz w:val="24"/>
              </w:rPr>
              <w:t xml:space="preserve">Наименование организации, принявшей решение о присвоении/подтверждении квалификационной категории спортивного судьи</w:t>
            </w:r>
          </w:p>
        </w:tc>
        <w:tc>
          <w:tcPr>
            <w:gridSpan w:val="2"/>
            <w:tcW w:w="1871" w:type="dxa"/>
            <w:vMerge w:val="restart"/>
          </w:tcPr>
          <w:p>
            <w:pPr>
              <w:pStyle w:val="0"/>
              <w:jc w:val="center"/>
            </w:pPr>
            <w:r>
              <w:rPr>
                <w:sz w:val="24"/>
              </w:rPr>
              <w:t xml:space="preserve">Фамилия и инициалы должностного лица, подписавшего документ</w:t>
            </w:r>
          </w:p>
        </w:tc>
        <w:tc>
          <w:tcPr>
            <w:gridSpan w:val="2"/>
            <w:tcW w:w="1714" w:type="dxa"/>
            <w:vMerge w:val="restart"/>
          </w:tcPr>
          <w:p>
            <w:pPr>
              <w:pStyle w:val="0"/>
              <w:jc w:val="center"/>
            </w:pPr>
            <w:r>
              <w:rPr>
                <w:sz w:val="24"/>
              </w:rPr>
              <w:t xml:space="preserve">Печать организации, подпись, фамилия и инициалы лица, ответственного за оформление карточки учета</w:t>
            </w:r>
          </w:p>
        </w:tc>
      </w:tr>
      <w:tr>
        <w:tc>
          <w:tcPr>
            <w:vMerge w:val="continue"/>
          </w:tcPr>
          <w:p/>
        </w:tc>
        <w:tc>
          <w:tcPr>
            <w:vMerge w:val="continue"/>
          </w:tcPr>
          <w:p/>
        </w:tc>
        <w:tc>
          <w:tcPr>
            <w:tcW w:w="1304" w:type="dxa"/>
          </w:tcPr>
          <w:p>
            <w:pPr>
              <w:pStyle w:val="0"/>
              <w:jc w:val="center"/>
            </w:pPr>
            <w:r>
              <w:rPr>
                <w:sz w:val="24"/>
              </w:rPr>
              <w:t xml:space="preserve">Дата (число, месяц, год)</w:t>
            </w:r>
          </w:p>
        </w:tc>
        <w:tc>
          <w:tcPr>
            <w:tcW w:w="1039" w:type="dxa"/>
          </w:tcPr>
          <w:p>
            <w:pPr>
              <w:pStyle w:val="0"/>
              <w:jc w:val="center"/>
            </w:pPr>
            <w:r>
              <w:rPr>
                <w:sz w:val="24"/>
              </w:rPr>
              <w:t xml:space="preserve">Номер</w:t>
            </w:r>
          </w:p>
        </w:tc>
        <w:tc>
          <w:tcPr>
            <w:gridSpan w:val="3"/>
            <w:vMerge w:val="continue"/>
          </w:tcPr>
          <w:p/>
        </w:tc>
        <w:tc>
          <w:tcPr>
            <w:gridSpan w:val="2"/>
            <w:vMerge w:val="continue"/>
          </w:tcPr>
          <w:p/>
        </w:tc>
        <w:tc>
          <w:tcPr>
            <w:gridSpan w:val="2"/>
            <w:vMerge w:val="continue"/>
          </w:tcPr>
          <w:p/>
        </w:tc>
      </w:tr>
      <w:tr>
        <w:tc>
          <w:tcPr>
            <w:tcW w:w="2324" w:type="dxa"/>
          </w:tcPr>
          <w:p>
            <w:pPr>
              <w:pStyle w:val="0"/>
            </w:pPr>
            <w:r>
              <w:rPr>
                <w:sz w:val="24"/>
              </w:rPr>
            </w:r>
          </w:p>
        </w:tc>
        <w:tc>
          <w:tcPr>
            <w:tcW w:w="1639" w:type="dxa"/>
          </w:tcPr>
          <w:p>
            <w:pPr>
              <w:pStyle w:val="0"/>
            </w:pPr>
            <w:r>
              <w:rPr>
                <w:sz w:val="24"/>
              </w:rPr>
            </w:r>
          </w:p>
        </w:tc>
        <w:tc>
          <w:tcPr>
            <w:tcW w:w="1304" w:type="dxa"/>
          </w:tcPr>
          <w:p>
            <w:pPr>
              <w:pStyle w:val="0"/>
            </w:pPr>
            <w:r>
              <w:rPr>
                <w:sz w:val="24"/>
              </w:rPr>
            </w:r>
          </w:p>
        </w:tc>
        <w:tc>
          <w:tcPr>
            <w:tcW w:w="1039" w:type="dxa"/>
          </w:tcPr>
          <w:p>
            <w:pPr>
              <w:pStyle w:val="0"/>
            </w:pPr>
            <w:r>
              <w:rPr>
                <w:sz w:val="24"/>
              </w:rPr>
            </w:r>
          </w:p>
        </w:tc>
        <w:tc>
          <w:tcPr>
            <w:gridSpan w:val="3"/>
            <w:tcW w:w="3630" w:type="dxa"/>
          </w:tcPr>
          <w:p>
            <w:pPr>
              <w:pStyle w:val="0"/>
            </w:pPr>
            <w:r>
              <w:rPr>
                <w:sz w:val="24"/>
              </w:rPr>
            </w:r>
          </w:p>
        </w:tc>
        <w:tc>
          <w:tcPr>
            <w:gridSpan w:val="2"/>
            <w:tcW w:w="1871" w:type="dxa"/>
          </w:tcPr>
          <w:p>
            <w:pPr>
              <w:pStyle w:val="0"/>
            </w:pPr>
            <w:r>
              <w:rPr>
                <w:sz w:val="24"/>
              </w:rPr>
            </w:r>
          </w:p>
        </w:tc>
        <w:tc>
          <w:tcPr>
            <w:gridSpan w:val="2"/>
            <w:tcW w:w="1714" w:type="dxa"/>
          </w:tcPr>
          <w:p>
            <w:pPr>
              <w:pStyle w:val="0"/>
            </w:pPr>
            <w:r>
              <w:rPr>
                <w:sz w:val="24"/>
              </w:rPr>
            </w:r>
          </w:p>
        </w:tc>
      </w:tr>
      <w:tr>
        <w:tc>
          <w:tcPr>
            <w:tcW w:w="2324" w:type="dxa"/>
          </w:tcPr>
          <w:p>
            <w:pPr>
              <w:pStyle w:val="0"/>
            </w:pPr>
            <w:r>
              <w:rPr>
                <w:sz w:val="24"/>
              </w:rPr>
            </w:r>
          </w:p>
        </w:tc>
        <w:tc>
          <w:tcPr>
            <w:tcW w:w="1639" w:type="dxa"/>
          </w:tcPr>
          <w:p>
            <w:pPr>
              <w:pStyle w:val="0"/>
            </w:pPr>
            <w:r>
              <w:rPr>
                <w:sz w:val="24"/>
              </w:rPr>
            </w:r>
          </w:p>
        </w:tc>
        <w:tc>
          <w:tcPr>
            <w:tcW w:w="1304" w:type="dxa"/>
          </w:tcPr>
          <w:p>
            <w:pPr>
              <w:pStyle w:val="0"/>
            </w:pPr>
            <w:r>
              <w:rPr>
                <w:sz w:val="24"/>
              </w:rPr>
            </w:r>
          </w:p>
        </w:tc>
        <w:tc>
          <w:tcPr>
            <w:tcW w:w="1039" w:type="dxa"/>
          </w:tcPr>
          <w:p>
            <w:pPr>
              <w:pStyle w:val="0"/>
            </w:pPr>
            <w:r>
              <w:rPr>
                <w:sz w:val="24"/>
              </w:rPr>
            </w:r>
          </w:p>
        </w:tc>
        <w:tc>
          <w:tcPr>
            <w:gridSpan w:val="3"/>
            <w:tcW w:w="3630" w:type="dxa"/>
          </w:tcPr>
          <w:p>
            <w:pPr>
              <w:pStyle w:val="0"/>
            </w:pPr>
            <w:r>
              <w:rPr>
                <w:sz w:val="24"/>
              </w:rPr>
            </w:r>
          </w:p>
        </w:tc>
        <w:tc>
          <w:tcPr>
            <w:gridSpan w:val="2"/>
            <w:tcW w:w="1871" w:type="dxa"/>
          </w:tcPr>
          <w:p>
            <w:pPr>
              <w:pStyle w:val="0"/>
            </w:pPr>
            <w:r>
              <w:rPr>
                <w:sz w:val="24"/>
              </w:rPr>
            </w:r>
          </w:p>
        </w:tc>
        <w:tc>
          <w:tcPr>
            <w:gridSpan w:val="2"/>
            <w:tcW w:w="1714" w:type="dxa"/>
          </w:tcPr>
          <w:p>
            <w:pPr>
              <w:pStyle w:val="0"/>
            </w:pPr>
            <w:r>
              <w:rPr>
                <w:sz w:val="24"/>
              </w:rPr>
            </w:r>
          </w:p>
        </w:tc>
      </w:tr>
    </w:tbl>
    <w:p>
      <w:pPr>
        <w:pStyle w:val="0"/>
        <w:jc w:val="both"/>
      </w:pPr>
      <w:r>
        <w:rPr>
          <w:sz w:val="24"/>
        </w:rPr>
      </w:r>
    </w:p>
    <w:p>
      <w:pPr>
        <w:pStyle w:val="0"/>
        <w:jc w:val="center"/>
      </w:pPr>
      <w:r>
        <w:rPr>
          <w:sz w:val="24"/>
        </w:rPr>
        <w:t xml:space="preserve">ТЕОРЕТИЧЕСКАЯ ПОДГОТОВКА, ВЫПОЛНЕНИЕ ТЕСТОВ ПО ФИЗИЧЕСКОЙ</w:t>
      </w:r>
    </w:p>
    <w:p>
      <w:pPr>
        <w:pStyle w:val="0"/>
        <w:jc w:val="center"/>
      </w:pPr>
      <w:r>
        <w:rPr>
          <w:sz w:val="24"/>
        </w:rPr>
        <w:t xml:space="preserve">ПОДГОТОВКЕ, СДАЧА КВАЛИФИКАЦИОННОГО ЗАЧЕТА (ЭКЗАМЕНА)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324"/>
        <w:gridCol w:w="889"/>
        <w:gridCol w:w="859"/>
        <w:gridCol w:w="1020"/>
        <w:gridCol w:w="859"/>
        <w:gridCol w:w="907"/>
        <w:gridCol w:w="889"/>
        <w:gridCol w:w="859"/>
        <w:gridCol w:w="1324"/>
        <w:gridCol w:w="1077"/>
        <w:gridCol w:w="889"/>
        <w:gridCol w:w="1714"/>
      </w:tblGrid>
      <w:tr>
        <w:tc>
          <w:tcPr>
            <w:gridSpan w:val="5"/>
            <w:tcW w:w="4999" w:type="dxa"/>
            <w:vAlign w:val="center"/>
          </w:tcPr>
          <w:p>
            <w:pPr>
              <w:pStyle w:val="0"/>
              <w:jc w:val="center"/>
            </w:pPr>
            <w:r>
              <w:rPr>
                <w:sz w:val="24"/>
              </w:rPr>
              <w:t xml:space="preserve">Участие в теоретической подготовке в качестве</w:t>
            </w:r>
          </w:p>
        </w:tc>
        <w:tc>
          <w:tcPr>
            <w:gridSpan w:val="3"/>
            <w:tcW w:w="2655" w:type="dxa"/>
            <w:vAlign w:val="center"/>
            <w:vMerge w:val="restart"/>
          </w:tcPr>
          <w:p>
            <w:pPr>
              <w:pStyle w:val="0"/>
              <w:jc w:val="center"/>
            </w:pPr>
            <w:r>
              <w:rPr>
                <w:sz w:val="24"/>
              </w:rPr>
              <w:t xml:space="preserve">Сдача квалификационного зачета (экзамена)</w:t>
            </w:r>
          </w:p>
        </w:tc>
        <w:tc>
          <w:tcPr>
            <w:gridSpan w:val="4"/>
            <w:tcW w:w="4149" w:type="dxa"/>
            <w:vAlign w:val="center"/>
            <w:vMerge w:val="restart"/>
          </w:tcPr>
          <w:p>
            <w:pPr>
              <w:pStyle w:val="0"/>
              <w:jc w:val="center"/>
            </w:pPr>
            <w:r>
              <w:rPr>
                <w:sz w:val="24"/>
              </w:rPr>
              <w:t xml:space="preserve">Выполнение тестов по физической подготовке</w:t>
            </w:r>
          </w:p>
        </w:tc>
        <w:tc>
          <w:tcPr>
            <w:tcW w:w="1714" w:type="dxa"/>
            <w:vMerge w:val="restart"/>
          </w:tcPr>
          <w:p>
            <w:pPr>
              <w:pStyle w:val="0"/>
              <w:jc w:val="center"/>
            </w:pPr>
            <w:r>
              <w:rPr>
                <w:sz w:val="24"/>
              </w:rPr>
              <w:t xml:space="preserve">Проводящая организация, дата внесения записи, подпись, фамилия и инициалы лица, ответственного за оформление карточки учета</w:t>
            </w:r>
          </w:p>
        </w:tc>
      </w:tr>
      <w:tr>
        <w:tc>
          <w:tcPr>
            <w:gridSpan w:val="3"/>
            <w:tcW w:w="3120" w:type="dxa"/>
            <w:vAlign w:val="center"/>
          </w:tcPr>
          <w:p>
            <w:pPr>
              <w:pStyle w:val="0"/>
              <w:jc w:val="center"/>
            </w:pPr>
            <w:r>
              <w:rPr>
                <w:sz w:val="24"/>
              </w:rPr>
              <w:t xml:space="preserve">Лектора</w:t>
            </w:r>
          </w:p>
        </w:tc>
        <w:tc>
          <w:tcPr>
            <w:gridSpan w:val="2"/>
            <w:tcW w:w="1879" w:type="dxa"/>
            <w:vAlign w:val="center"/>
          </w:tcPr>
          <w:p>
            <w:pPr>
              <w:pStyle w:val="0"/>
              <w:jc w:val="center"/>
            </w:pPr>
            <w:r>
              <w:rPr>
                <w:sz w:val="24"/>
              </w:rPr>
              <w:t xml:space="preserve">Участника</w:t>
            </w:r>
          </w:p>
        </w:tc>
        <w:tc>
          <w:tcPr>
            <w:gridSpan w:val="3"/>
            <w:vMerge w:val="continue"/>
          </w:tcPr>
          <w:p/>
        </w:tc>
        <w:tc>
          <w:tcPr>
            <w:gridSpan w:val="4"/>
            <w:vMerge w:val="continue"/>
          </w:tcPr>
          <w:p/>
        </w:tc>
        <w:tc>
          <w:tcPr>
            <w:vMerge w:val="continue"/>
          </w:tcPr>
          <w:p/>
        </w:tc>
      </w:tr>
      <w:tr>
        <w:tc>
          <w:tcPr>
            <w:tcW w:w="907" w:type="dxa"/>
            <w:vAlign w:val="center"/>
          </w:tcPr>
          <w:p>
            <w:pPr>
              <w:pStyle w:val="0"/>
              <w:jc w:val="center"/>
            </w:pPr>
            <w:r>
              <w:rPr>
                <w:sz w:val="24"/>
              </w:rPr>
              <w:t xml:space="preserve">Дата (число, месяц, год)</w:t>
            </w:r>
          </w:p>
        </w:tc>
        <w:tc>
          <w:tcPr>
            <w:tcW w:w="1324" w:type="dxa"/>
            <w:vAlign w:val="center"/>
          </w:tcPr>
          <w:p>
            <w:pPr>
              <w:pStyle w:val="0"/>
              <w:jc w:val="center"/>
            </w:pPr>
            <w:r>
              <w:rPr>
                <w:sz w:val="24"/>
              </w:rPr>
              <w:t xml:space="preserve">Место проведения (адрес)</w:t>
            </w:r>
          </w:p>
        </w:tc>
        <w:tc>
          <w:tcPr>
            <w:tcW w:w="889" w:type="dxa"/>
            <w:vAlign w:val="center"/>
          </w:tcPr>
          <w:p>
            <w:pPr>
              <w:pStyle w:val="0"/>
              <w:jc w:val="center"/>
            </w:pPr>
            <w:r>
              <w:rPr>
                <w:sz w:val="24"/>
              </w:rPr>
              <w:t xml:space="preserve">Оценка</w:t>
            </w:r>
          </w:p>
        </w:tc>
        <w:tc>
          <w:tcPr>
            <w:tcW w:w="859" w:type="dxa"/>
            <w:vAlign w:val="center"/>
          </w:tcPr>
          <w:p>
            <w:pPr>
              <w:pStyle w:val="0"/>
              <w:jc w:val="center"/>
            </w:pPr>
            <w:r>
              <w:rPr>
                <w:sz w:val="24"/>
              </w:rPr>
              <w:t xml:space="preserve">Дата (число, месяц, год)</w:t>
            </w:r>
          </w:p>
        </w:tc>
        <w:tc>
          <w:tcPr>
            <w:tcW w:w="1020" w:type="dxa"/>
            <w:vAlign w:val="center"/>
          </w:tcPr>
          <w:p>
            <w:pPr>
              <w:pStyle w:val="0"/>
              <w:jc w:val="center"/>
            </w:pPr>
            <w:r>
              <w:rPr>
                <w:sz w:val="24"/>
              </w:rPr>
              <w:t xml:space="preserve">Место проведения (адрес)</w:t>
            </w:r>
          </w:p>
        </w:tc>
        <w:tc>
          <w:tcPr>
            <w:tcW w:w="859" w:type="dxa"/>
            <w:vAlign w:val="center"/>
          </w:tcPr>
          <w:p>
            <w:pPr>
              <w:pStyle w:val="0"/>
              <w:jc w:val="center"/>
            </w:pPr>
            <w:r>
              <w:rPr>
                <w:sz w:val="24"/>
              </w:rPr>
              <w:t xml:space="preserve">Дата (число, месяц, год)</w:t>
            </w:r>
          </w:p>
        </w:tc>
        <w:tc>
          <w:tcPr>
            <w:tcW w:w="907" w:type="dxa"/>
            <w:vAlign w:val="center"/>
          </w:tcPr>
          <w:p>
            <w:pPr>
              <w:pStyle w:val="0"/>
              <w:jc w:val="center"/>
            </w:pPr>
            <w:r>
              <w:rPr>
                <w:sz w:val="24"/>
              </w:rPr>
              <w:t xml:space="preserve">N протокола</w:t>
            </w:r>
          </w:p>
        </w:tc>
        <w:tc>
          <w:tcPr>
            <w:tcW w:w="889" w:type="dxa"/>
            <w:vAlign w:val="center"/>
          </w:tcPr>
          <w:p>
            <w:pPr>
              <w:pStyle w:val="0"/>
              <w:jc w:val="center"/>
            </w:pPr>
            <w:r>
              <w:rPr>
                <w:sz w:val="24"/>
              </w:rPr>
              <w:t xml:space="preserve">Оценка</w:t>
            </w:r>
          </w:p>
        </w:tc>
        <w:tc>
          <w:tcPr>
            <w:tcW w:w="859" w:type="dxa"/>
            <w:vAlign w:val="center"/>
          </w:tcPr>
          <w:p>
            <w:pPr>
              <w:pStyle w:val="0"/>
              <w:jc w:val="center"/>
            </w:pPr>
            <w:r>
              <w:rPr>
                <w:sz w:val="24"/>
              </w:rPr>
              <w:t xml:space="preserve">Дата (число, месяц, год)</w:t>
            </w:r>
          </w:p>
        </w:tc>
        <w:tc>
          <w:tcPr>
            <w:tcW w:w="1324" w:type="dxa"/>
            <w:vAlign w:val="center"/>
          </w:tcPr>
          <w:p>
            <w:pPr>
              <w:pStyle w:val="0"/>
              <w:jc w:val="center"/>
            </w:pPr>
            <w:r>
              <w:rPr>
                <w:sz w:val="24"/>
              </w:rPr>
              <w:t xml:space="preserve">Место проведения (адрес)</w:t>
            </w:r>
          </w:p>
        </w:tc>
        <w:tc>
          <w:tcPr>
            <w:tcW w:w="1077" w:type="dxa"/>
            <w:vAlign w:val="center"/>
          </w:tcPr>
          <w:p>
            <w:pPr>
              <w:pStyle w:val="0"/>
              <w:jc w:val="center"/>
            </w:pPr>
            <w:r>
              <w:rPr>
                <w:sz w:val="24"/>
              </w:rPr>
              <w:t xml:space="preserve">Должность спортивного судьи, наименование теста, результат</w:t>
            </w:r>
          </w:p>
        </w:tc>
        <w:tc>
          <w:tcPr>
            <w:tcW w:w="889" w:type="dxa"/>
            <w:vAlign w:val="center"/>
          </w:tcPr>
          <w:p>
            <w:pPr>
              <w:pStyle w:val="0"/>
              <w:jc w:val="center"/>
            </w:pPr>
            <w:r>
              <w:rPr>
                <w:sz w:val="24"/>
              </w:rPr>
              <w:t xml:space="preserve">Оценка</w:t>
            </w:r>
          </w:p>
        </w:tc>
        <w:tc>
          <w:tcPr>
            <w:tcW w:w="1714" w:type="dxa"/>
          </w:tcPr>
          <w:p>
            <w:pPr>
              <w:pStyle w:val="0"/>
            </w:pPr>
            <w:r>
              <w:rPr>
                <w:sz w:val="24"/>
              </w:rPr>
            </w:r>
          </w:p>
        </w:tc>
      </w:tr>
      <w:tr>
        <w:tc>
          <w:tcPr>
            <w:tcW w:w="907" w:type="dxa"/>
            <w:vMerge w:val="restart"/>
          </w:tcPr>
          <w:p>
            <w:pPr>
              <w:pStyle w:val="0"/>
            </w:pPr>
            <w:r>
              <w:rPr>
                <w:sz w:val="24"/>
              </w:rPr>
            </w:r>
          </w:p>
        </w:tc>
        <w:tc>
          <w:tcPr>
            <w:tcW w:w="1324" w:type="dxa"/>
            <w:vMerge w:val="restart"/>
          </w:tcPr>
          <w:p>
            <w:pPr>
              <w:pStyle w:val="0"/>
            </w:pPr>
            <w:r>
              <w:rPr>
                <w:sz w:val="24"/>
              </w:rPr>
            </w:r>
          </w:p>
        </w:tc>
        <w:tc>
          <w:tcPr>
            <w:tcW w:w="889" w:type="dxa"/>
            <w:vMerge w:val="restart"/>
          </w:tcPr>
          <w:p>
            <w:pPr>
              <w:pStyle w:val="0"/>
            </w:pPr>
            <w:r>
              <w:rPr>
                <w:sz w:val="24"/>
              </w:rPr>
            </w:r>
          </w:p>
        </w:tc>
        <w:tc>
          <w:tcPr>
            <w:tcW w:w="859" w:type="dxa"/>
            <w:vMerge w:val="restart"/>
          </w:tcPr>
          <w:p>
            <w:pPr>
              <w:pStyle w:val="0"/>
            </w:pPr>
            <w:r>
              <w:rPr>
                <w:sz w:val="24"/>
              </w:rPr>
            </w:r>
          </w:p>
        </w:tc>
        <w:tc>
          <w:tcPr>
            <w:tcW w:w="1020" w:type="dxa"/>
            <w:vMerge w:val="restart"/>
          </w:tcPr>
          <w:p>
            <w:pPr>
              <w:pStyle w:val="0"/>
            </w:pPr>
            <w:r>
              <w:rPr>
                <w:sz w:val="24"/>
              </w:rPr>
            </w:r>
          </w:p>
        </w:tc>
        <w:tc>
          <w:tcPr>
            <w:tcW w:w="859" w:type="dxa"/>
            <w:vMerge w:val="restart"/>
          </w:tcPr>
          <w:p>
            <w:pPr>
              <w:pStyle w:val="0"/>
            </w:pPr>
            <w:r>
              <w:rPr>
                <w:sz w:val="24"/>
              </w:rPr>
            </w:r>
          </w:p>
        </w:tc>
        <w:tc>
          <w:tcPr>
            <w:tcW w:w="907" w:type="dxa"/>
            <w:vMerge w:val="restart"/>
          </w:tcPr>
          <w:p>
            <w:pPr>
              <w:pStyle w:val="0"/>
            </w:pPr>
            <w:r>
              <w:rPr>
                <w:sz w:val="24"/>
              </w:rPr>
            </w:r>
          </w:p>
        </w:tc>
        <w:tc>
          <w:tcPr>
            <w:tcW w:w="889" w:type="dxa"/>
            <w:vMerge w:val="restart"/>
          </w:tcPr>
          <w:p>
            <w:pPr>
              <w:pStyle w:val="0"/>
            </w:pPr>
            <w:r>
              <w:rPr>
                <w:sz w:val="24"/>
              </w:rPr>
            </w:r>
          </w:p>
        </w:tc>
        <w:tc>
          <w:tcPr>
            <w:tcW w:w="859" w:type="dxa"/>
            <w:vMerge w:val="restart"/>
          </w:tcPr>
          <w:p>
            <w:pPr>
              <w:pStyle w:val="0"/>
            </w:pPr>
            <w:r>
              <w:rPr>
                <w:sz w:val="24"/>
              </w:rPr>
            </w:r>
          </w:p>
        </w:tc>
        <w:tc>
          <w:tcPr>
            <w:tcW w:w="1324" w:type="dxa"/>
            <w:vMerge w:val="restart"/>
          </w:tcPr>
          <w:p>
            <w:pPr>
              <w:pStyle w:val="0"/>
            </w:pPr>
            <w:r>
              <w:rPr>
                <w:sz w:val="24"/>
              </w:rPr>
            </w:r>
          </w:p>
        </w:tc>
        <w:tc>
          <w:tcPr>
            <w:tcW w:w="1077" w:type="dxa"/>
            <w:vMerge w:val="restart"/>
          </w:tcPr>
          <w:p>
            <w:pPr>
              <w:pStyle w:val="0"/>
            </w:pPr>
            <w:r>
              <w:rPr>
                <w:sz w:val="24"/>
              </w:rPr>
            </w:r>
          </w:p>
        </w:tc>
        <w:tc>
          <w:tcPr>
            <w:tcW w:w="889" w:type="dxa"/>
            <w:vMerge w:val="restart"/>
          </w:tcPr>
          <w:p>
            <w:pPr>
              <w:pStyle w:val="0"/>
            </w:pPr>
            <w:r>
              <w:rPr>
                <w:sz w:val="24"/>
              </w:rPr>
            </w:r>
          </w:p>
        </w:tc>
        <w:tc>
          <w:tcPr>
            <w:tcW w:w="1714"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14"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14" w:type="dxa"/>
          </w:tcPr>
          <w:p>
            <w:pPr>
              <w:pStyle w:val="0"/>
            </w:pPr>
            <w:r>
              <w:rPr>
                <w:sz w:val="24"/>
              </w:rPr>
            </w:r>
          </w:p>
        </w:tc>
      </w:tr>
      <w:tr>
        <w:tc>
          <w:tcPr>
            <w:tcW w:w="907" w:type="dxa"/>
            <w:vMerge w:val="restart"/>
          </w:tcPr>
          <w:p>
            <w:pPr>
              <w:pStyle w:val="0"/>
            </w:pPr>
            <w:r>
              <w:rPr>
                <w:sz w:val="24"/>
              </w:rPr>
            </w:r>
          </w:p>
        </w:tc>
        <w:tc>
          <w:tcPr>
            <w:tcW w:w="1324" w:type="dxa"/>
            <w:vMerge w:val="restart"/>
          </w:tcPr>
          <w:p>
            <w:pPr>
              <w:pStyle w:val="0"/>
            </w:pPr>
            <w:r>
              <w:rPr>
                <w:sz w:val="24"/>
              </w:rPr>
            </w:r>
          </w:p>
        </w:tc>
        <w:tc>
          <w:tcPr>
            <w:tcW w:w="889" w:type="dxa"/>
            <w:vMerge w:val="restart"/>
          </w:tcPr>
          <w:p>
            <w:pPr>
              <w:pStyle w:val="0"/>
            </w:pPr>
            <w:r>
              <w:rPr>
                <w:sz w:val="24"/>
              </w:rPr>
            </w:r>
          </w:p>
        </w:tc>
        <w:tc>
          <w:tcPr>
            <w:tcW w:w="859" w:type="dxa"/>
            <w:vMerge w:val="restart"/>
          </w:tcPr>
          <w:p>
            <w:pPr>
              <w:pStyle w:val="0"/>
            </w:pPr>
            <w:r>
              <w:rPr>
                <w:sz w:val="24"/>
              </w:rPr>
            </w:r>
          </w:p>
        </w:tc>
        <w:tc>
          <w:tcPr>
            <w:tcW w:w="1020" w:type="dxa"/>
            <w:vMerge w:val="restart"/>
          </w:tcPr>
          <w:p>
            <w:pPr>
              <w:pStyle w:val="0"/>
            </w:pPr>
            <w:r>
              <w:rPr>
                <w:sz w:val="24"/>
              </w:rPr>
            </w:r>
          </w:p>
        </w:tc>
        <w:tc>
          <w:tcPr>
            <w:tcW w:w="859" w:type="dxa"/>
            <w:vMerge w:val="restart"/>
          </w:tcPr>
          <w:p>
            <w:pPr>
              <w:pStyle w:val="0"/>
            </w:pPr>
            <w:r>
              <w:rPr>
                <w:sz w:val="24"/>
              </w:rPr>
            </w:r>
          </w:p>
        </w:tc>
        <w:tc>
          <w:tcPr>
            <w:tcW w:w="907" w:type="dxa"/>
            <w:vMerge w:val="restart"/>
          </w:tcPr>
          <w:p>
            <w:pPr>
              <w:pStyle w:val="0"/>
            </w:pPr>
            <w:r>
              <w:rPr>
                <w:sz w:val="24"/>
              </w:rPr>
            </w:r>
          </w:p>
        </w:tc>
        <w:tc>
          <w:tcPr>
            <w:tcW w:w="889" w:type="dxa"/>
            <w:vMerge w:val="restart"/>
          </w:tcPr>
          <w:p>
            <w:pPr>
              <w:pStyle w:val="0"/>
            </w:pPr>
            <w:r>
              <w:rPr>
                <w:sz w:val="24"/>
              </w:rPr>
            </w:r>
          </w:p>
        </w:tc>
        <w:tc>
          <w:tcPr>
            <w:tcW w:w="859" w:type="dxa"/>
            <w:vMerge w:val="restart"/>
          </w:tcPr>
          <w:p>
            <w:pPr>
              <w:pStyle w:val="0"/>
            </w:pPr>
            <w:r>
              <w:rPr>
                <w:sz w:val="24"/>
              </w:rPr>
            </w:r>
          </w:p>
        </w:tc>
        <w:tc>
          <w:tcPr>
            <w:tcW w:w="1324" w:type="dxa"/>
            <w:vMerge w:val="restart"/>
          </w:tcPr>
          <w:p>
            <w:pPr>
              <w:pStyle w:val="0"/>
            </w:pPr>
            <w:r>
              <w:rPr>
                <w:sz w:val="24"/>
              </w:rPr>
            </w:r>
          </w:p>
        </w:tc>
        <w:tc>
          <w:tcPr>
            <w:tcW w:w="1077" w:type="dxa"/>
            <w:vMerge w:val="restart"/>
          </w:tcPr>
          <w:p>
            <w:pPr>
              <w:pStyle w:val="0"/>
            </w:pPr>
            <w:r>
              <w:rPr>
                <w:sz w:val="24"/>
              </w:rPr>
            </w:r>
          </w:p>
        </w:tc>
        <w:tc>
          <w:tcPr>
            <w:tcW w:w="889" w:type="dxa"/>
            <w:vMerge w:val="restart"/>
          </w:tcPr>
          <w:p>
            <w:pPr>
              <w:pStyle w:val="0"/>
            </w:pPr>
            <w:r>
              <w:rPr>
                <w:sz w:val="24"/>
              </w:rPr>
            </w:r>
          </w:p>
        </w:tc>
        <w:tc>
          <w:tcPr>
            <w:tcW w:w="1714"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14"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14" w:type="dxa"/>
          </w:tcPr>
          <w:p>
            <w:pPr>
              <w:pStyle w:val="0"/>
            </w:pPr>
            <w:r>
              <w:rPr>
                <w:sz w:val="24"/>
              </w:rPr>
            </w:r>
          </w:p>
        </w:tc>
      </w:tr>
      <w:tr>
        <w:tc>
          <w:tcPr>
            <w:tcW w:w="907" w:type="dxa"/>
            <w:vMerge w:val="restart"/>
          </w:tcPr>
          <w:p>
            <w:pPr>
              <w:pStyle w:val="0"/>
            </w:pPr>
            <w:r>
              <w:rPr>
                <w:sz w:val="24"/>
              </w:rPr>
            </w:r>
          </w:p>
        </w:tc>
        <w:tc>
          <w:tcPr>
            <w:tcW w:w="1324" w:type="dxa"/>
            <w:vMerge w:val="restart"/>
          </w:tcPr>
          <w:p>
            <w:pPr>
              <w:pStyle w:val="0"/>
            </w:pPr>
            <w:r>
              <w:rPr>
                <w:sz w:val="24"/>
              </w:rPr>
            </w:r>
          </w:p>
        </w:tc>
        <w:tc>
          <w:tcPr>
            <w:tcW w:w="889" w:type="dxa"/>
            <w:vMerge w:val="restart"/>
          </w:tcPr>
          <w:p>
            <w:pPr>
              <w:pStyle w:val="0"/>
            </w:pPr>
            <w:r>
              <w:rPr>
                <w:sz w:val="24"/>
              </w:rPr>
            </w:r>
          </w:p>
        </w:tc>
        <w:tc>
          <w:tcPr>
            <w:tcW w:w="859" w:type="dxa"/>
            <w:vMerge w:val="restart"/>
          </w:tcPr>
          <w:p>
            <w:pPr>
              <w:pStyle w:val="0"/>
            </w:pPr>
            <w:r>
              <w:rPr>
                <w:sz w:val="24"/>
              </w:rPr>
            </w:r>
          </w:p>
        </w:tc>
        <w:tc>
          <w:tcPr>
            <w:tcW w:w="1020" w:type="dxa"/>
            <w:vMerge w:val="restart"/>
          </w:tcPr>
          <w:p>
            <w:pPr>
              <w:pStyle w:val="0"/>
            </w:pPr>
            <w:r>
              <w:rPr>
                <w:sz w:val="24"/>
              </w:rPr>
            </w:r>
          </w:p>
        </w:tc>
        <w:tc>
          <w:tcPr>
            <w:tcW w:w="859" w:type="dxa"/>
            <w:vMerge w:val="restart"/>
          </w:tcPr>
          <w:p>
            <w:pPr>
              <w:pStyle w:val="0"/>
            </w:pPr>
            <w:r>
              <w:rPr>
                <w:sz w:val="24"/>
              </w:rPr>
            </w:r>
          </w:p>
        </w:tc>
        <w:tc>
          <w:tcPr>
            <w:tcW w:w="907" w:type="dxa"/>
            <w:vMerge w:val="restart"/>
          </w:tcPr>
          <w:p>
            <w:pPr>
              <w:pStyle w:val="0"/>
            </w:pPr>
            <w:r>
              <w:rPr>
                <w:sz w:val="24"/>
              </w:rPr>
            </w:r>
          </w:p>
        </w:tc>
        <w:tc>
          <w:tcPr>
            <w:tcW w:w="889" w:type="dxa"/>
            <w:vMerge w:val="restart"/>
          </w:tcPr>
          <w:p>
            <w:pPr>
              <w:pStyle w:val="0"/>
            </w:pPr>
            <w:r>
              <w:rPr>
                <w:sz w:val="24"/>
              </w:rPr>
            </w:r>
          </w:p>
        </w:tc>
        <w:tc>
          <w:tcPr>
            <w:tcW w:w="859" w:type="dxa"/>
            <w:vMerge w:val="restart"/>
          </w:tcPr>
          <w:p>
            <w:pPr>
              <w:pStyle w:val="0"/>
            </w:pPr>
            <w:r>
              <w:rPr>
                <w:sz w:val="24"/>
              </w:rPr>
            </w:r>
          </w:p>
        </w:tc>
        <w:tc>
          <w:tcPr>
            <w:tcW w:w="1324" w:type="dxa"/>
            <w:vMerge w:val="restart"/>
          </w:tcPr>
          <w:p>
            <w:pPr>
              <w:pStyle w:val="0"/>
            </w:pPr>
            <w:r>
              <w:rPr>
                <w:sz w:val="24"/>
              </w:rPr>
            </w:r>
          </w:p>
        </w:tc>
        <w:tc>
          <w:tcPr>
            <w:tcW w:w="1077" w:type="dxa"/>
            <w:vMerge w:val="restart"/>
          </w:tcPr>
          <w:p>
            <w:pPr>
              <w:pStyle w:val="0"/>
            </w:pPr>
            <w:r>
              <w:rPr>
                <w:sz w:val="24"/>
              </w:rPr>
            </w:r>
          </w:p>
        </w:tc>
        <w:tc>
          <w:tcPr>
            <w:tcW w:w="889" w:type="dxa"/>
            <w:vMerge w:val="restart"/>
          </w:tcPr>
          <w:p>
            <w:pPr>
              <w:pStyle w:val="0"/>
            </w:pPr>
            <w:r>
              <w:rPr>
                <w:sz w:val="24"/>
              </w:rPr>
            </w:r>
          </w:p>
        </w:tc>
        <w:tc>
          <w:tcPr>
            <w:tcW w:w="1714"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14"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14" w:type="dxa"/>
          </w:tcPr>
          <w:p>
            <w:pPr>
              <w:pStyle w:val="0"/>
            </w:pPr>
            <w:r>
              <w:rPr>
                <w:sz w:val="24"/>
              </w:rPr>
            </w:r>
          </w:p>
        </w:tc>
      </w:tr>
      <w:tr>
        <w:tc>
          <w:tcPr>
            <w:tcW w:w="907" w:type="dxa"/>
            <w:vMerge w:val="restart"/>
          </w:tcPr>
          <w:p>
            <w:pPr>
              <w:pStyle w:val="0"/>
            </w:pPr>
            <w:r>
              <w:rPr>
                <w:sz w:val="24"/>
              </w:rPr>
            </w:r>
          </w:p>
        </w:tc>
        <w:tc>
          <w:tcPr>
            <w:tcW w:w="1324" w:type="dxa"/>
            <w:vMerge w:val="restart"/>
          </w:tcPr>
          <w:p>
            <w:pPr>
              <w:pStyle w:val="0"/>
            </w:pPr>
            <w:r>
              <w:rPr>
                <w:sz w:val="24"/>
              </w:rPr>
            </w:r>
          </w:p>
        </w:tc>
        <w:tc>
          <w:tcPr>
            <w:tcW w:w="889" w:type="dxa"/>
            <w:vMerge w:val="restart"/>
          </w:tcPr>
          <w:p>
            <w:pPr>
              <w:pStyle w:val="0"/>
            </w:pPr>
            <w:r>
              <w:rPr>
                <w:sz w:val="24"/>
              </w:rPr>
            </w:r>
          </w:p>
        </w:tc>
        <w:tc>
          <w:tcPr>
            <w:tcW w:w="859" w:type="dxa"/>
            <w:vMerge w:val="restart"/>
          </w:tcPr>
          <w:p>
            <w:pPr>
              <w:pStyle w:val="0"/>
            </w:pPr>
            <w:r>
              <w:rPr>
                <w:sz w:val="24"/>
              </w:rPr>
            </w:r>
          </w:p>
        </w:tc>
        <w:tc>
          <w:tcPr>
            <w:tcW w:w="1020" w:type="dxa"/>
            <w:vMerge w:val="restart"/>
          </w:tcPr>
          <w:p>
            <w:pPr>
              <w:pStyle w:val="0"/>
            </w:pPr>
            <w:r>
              <w:rPr>
                <w:sz w:val="24"/>
              </w:rPr>
            </w:r>
          </w:p>
        </w:tc>
        <w:tc>
          <w:tcPr>
            <w:tcW w:w="859" w:type="dxa"/>
            <w:vMerge w:val="restart"/>
          </w:tcPr>
          <w:p>
            <w:pPr>
              <w:pStyle w:val="0"/>
            </w:pPr>
            <w:r>
              <w:rPr>
                <w:sz w:val="24"/>
              </w:rPr>
            </w:r>
          </w:p>
        </w:tc>
        <w:tc>
          <w:tcPr>
            <w:tcW w:w="907" w:type="dxa"/>
            <w:vMerge w:val="restart"/>
          </w:tcPr>
          <w:p>
            <w:pPr>
              <w:pStyle w:val="0"/>
            </w:pPr>
            <w:r>
              <w:rPr>
                <w:sz w:val="24"/>
              </w:rPr>
            </w:r>
          </w:p>
        </w:tc>
        <w:tc>
          <w:tcPr>
            <w:tcW w:w="889" w:type="dxa"/>
            <w:vMerge w:val="restart"/>
          </w:tcPr>
          <w:p>
            <w:pPr>
              <w:pStyle w:val="0"/>
            </w:pPr>
            <w:r>
              <w:rPr>
                <w:sz w:val="24"/>
              </w:rPr>
            </w:r>
          </w:p>
        </w:tc>
        <w:tc>
          <w:tcPr>
            <w:tcW w:w="859" w:type="dxa"/>
            <w:vMerge w:val="restart"/>
          </w:tcPr>
          <w:p>
            <w:pPr>
              <w:pStyle w:val="0"/>
            </w:pPr>
            <w:r>
              <w:rPr>
                <w:sz w:val="24"/>
              </w:rPr>
            </w:r>
          </w:p>
        </w:tc>
        <w:tc>
          <w:tcPr>
            <w:tcW w:w="1324" w:type="dxa"/>
            <w:vMerge w:val="restart"/>
          </w:tcPr>
          <w:p>
            <w:pPr>
              <w:pStyle w:val="0"/>
            </w:pPr>
            <w:r>
              <w:rPr>
                <w:sz w:val="24"/>
              </w:rPr>
            </w:r>
          </w:p>
        </w:tc>
        <w:tc>
          <w:tcPr>
            <w:tcW w:w="1077" w:type="dxa"/>
            <w:vMerge w:val="restart"/>
          </w:tcPr>
          <w:p>
            <w:pPr>
              <w:pStyle w:val="0"/>
            </w:pPr>
            <w:r>
              <w:rPr>
                <w:sz w:val="24"/>
              </w:rPr>
            </w:r>
          </w:p>
        </w:tc>
        <w:tc>
          <w:tcPr>
            <w:tcW w:w="889" w:type="dxa"/>
            <w:vMerge w:val="restart"/>
          </w:tcPr>
          <w:p>
            <w:pPr>
              <w:pStyle w:val="0"/>
            </w:pPr>
            <w:r>
              <w:rPr>
                <w:sz w:val="24"/>
              </w:rPr>
            </w:r>
          </w:p>
        </w:tc>
        <w:tc>
          <w:tcPr>
            <w:tcW w:w="1714"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14"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14" w:type="dxa"/>
          </w:tcPr>
          <w:p>
            <w:pPr>
              <w:pStyle w:val="0"/>
            </w:pPr>
            <w:r>
              <w:rPr>
                <w:sz w:val="24"/>
              </w:rPr>
            </w:r>
          </w:p>
        </w:tc>
      </w:tr>
    </w:tbl>
    <w:p>
      <w:pPr>
        <w:sectPr>
          <w:headerReference w:type="default" r:id="rId7"/>
          <w:headerReference w:type="first" r:id="rId7"/>
          <w:footerReference w:type="default" r:id="rId8"/>
          <w:footerReference w:type="first" r:id="rId8"/>
          <w:pgSz w:w="16838" w:h="11906" w:orient="landscape"/>
          <w:pgMar w:top="1133" w:right="1440" w:bottom="566" w:left="1440" w:header="0" w:footer="0" w:gutter="0"/>
          <w:titlePg/>
        </w:sectPr>
      </w:pPr>
    </w:p>
    <w:p>
      <w:pPr>
        <w:pStyle w:val="0"/>
        <w:jc w:val="both"/>
      </w:pPr>
      <w:r>
        <w:rPr>
          <w:sz w:val="24"/>
        </w:rPr>
      </w:r>
    </w:p>
    <w:p>
      <w:pPr>
        <w:pStyle w:val="0"/>
        <w:jc w:val="center"/>
      </w:pPr>
      <w:r>
        <w:rPr>
          <w:sz w:val="24"/>
        </w:rPr>
        <w:t xml:space="preserve">ПРАКТИКА СУДЕЙСТВА ОФИЦИАЛЬНЫХ СПОРТИВНЫХ СОРЕВНОВАНИЙ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24"/>
        <w:gridCol w:w="1324"/>
        <w:gridCol w:w="1639"/>
        <w:gridCol w:w="1928"/>
        <w:gridCol w:w="1077"/>
        <w:gridCol w:w="1757"/>
      </w:tblGrid>
      <w:tr>
        <w:tc>
          <w:tcPr>
            <w:tcW w:w="1324" w:type="dxa"/>
            <w:vAlign w:val="center"/>
          </w:tcPr>
          <w:p>
            <w:pPr>
              <w:pStyle w:val="0"/>
              <w:jc w:val="center"/>
            </w:pPr>
            <w:r>
              <w:rPr>
                <w:sz w:val="24"/>
              </w:rPr>
              <w:t xml:space="preserve">Дата проведения</w:t>
            </w:r>
          </w:p>
        </w:tc>
        <w:tc>
          <w:tcPr>
            <w:tcW w:w="1324" w:type="dxa"/>
            <w:vAlign w:val="center"/>
          </w:tcPr>
          <w:p>
            <w:pPr>
              <w:pStyle w:val="0"/>
              <w:jc w:val="center"/>
            </w:pPr>
            <w:r>
              <w:rPr>
                <w:sz w:val="24"/>
              </w:rPr>
              <w:t xml:space="preserve">Место проведения (адрес)</w:t>
            </w:r>
          </w:p>
        </w:tc>
        <w:tc>
          <w:tcPr>
            <w:tcW w:w="1639" w:type="dxa"/>
            <w:vAlign w:val="center"/>
          </w:tcPr>
          <w:p>
            <w:pPr>
              <w:pStyle w:val="0"/>
              <w:jc w:val="center"/>
            </w:pPr>
            <w:r>
              <w:rPr>
                <w:sz w:val="24"/>
              </w:rPr>
              <w:t xml:space="preserve">Наименование должности спортивного судьи</w:t>
            </w:r>
          </w:p>
        </w:tc>
        <w:tc>
          <w:tcPr>
            <w:tcW w:w="1928" w:type="dxa"/>
            <w:vAlign w:val="center"/>
          </w:tcPr>
          <w:p>
            <w:pPr>
              <w:pStyle w:val="0"/>
              <w:jc w:val="center"/>
            </w:pPr>
            <w:r>
              <w:rPr>
                <w:sz w:val="24"/>
              </w:rPr>
              <w:t xml:space="preserve">Наименование и статус официальных спортивных соревнований, вид программы</w:t>
            </w:r>
          </w:p>
        </w:tc>
        <w:tc>
          <w:tcPr>
            <w:tcW w:w="1077" w:type="dxa"/>
            <w:vAlign w:val="center"/>
          </w:tcPr>
          <w:p>
            <w:pPr>
              <w:pStyle w:val="0"/>
              <w:jc w:val="center"/>
            </w:pPr>
            <w:r>
              <w:rPr>
                <w:sz w:val="24"/>
              </w:rPr>
              <w:t xml:space="preserve">Оценка</w:t>
            </w:r>
          </w:p>
        </w:tc>
        <w:tc>
          <w:tcPr>
            <w:tcW w:w="1757" w:type="dxa"/>
            <w:vAlign w:val="center"/>
          </w:tcPr>
          <w:p>
            <w:pPr>
              <w:pStyle w:val="0"/>
              <w:jc w:val="center"/>
            </w:pPr>
            <w:r>
              <w:rPr>
                <w:sz w:val="24"/>
              </w:rPr>
              <w:t xml:space="preserve">Дата внесения записи, подпись, фамилия и инициалы лица, ответственного за оформление карточки учета</w:t>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r>
        <w:tc>
          <w:tcPr>
            <w:tcW w:w="1324" w:type="dxa"/>
            <w:vMerge w:val="restart"/>
          </w:tcPr>
          <w:p>
            <w:pPr>
              <w:pStyle w:val="0"/>
            </w:pPr>
            <w:r>
              <w:rPr>
                <w:sz w:val="24"/>
              </w:rPr>
            </w:r>
          </w:p>
        </w:tc>
        <w:tc>
          <w:tcPr>
            <w:tcW w:w="1324" w:type="dxa"/>
            <w:vMerge w:val="restart"/>
          </w:tcPr>
          <w:p>
            <w:pPr>
              <w:pStyle w:val="0"/>
            </w:pPr>
            <w:r>
              <w:rPr>
                <w:sz w:val="24"/>
              </w:rPr>
            </w:r>
          </w:p>
        </w:tc>
        <w:tc>
          <w:tcPr>
            <w:tcW w:w="1639" w:type="dxa"/>
            <w:vMerge w:val="restart"/>
          </w:tcPr>
          <w:p>
            <w:pPr>
              <w:pStyle w:val="0"/>
            </w:pPr>
            <w:r>
              <w:rPr>
                <w:sz w:val="24"/>
              </w:rPr>
            </w:r>
          </w:p>
        </w:tc>
        <w:tc>
          <w:tcPr>
            <w:tcW w:w="1928" w:type="dxa"/>
            <w:vMerge w:val="restart"/>
          </w:tcPr>
          <w:p>
            <w:pPr>
              <w:pStyle w:val="0"/>
            </w:pPr>
            <w:r>
              <w:rPr>
                <w:sz w:val="24"/>
              </w:rPr>
            </w:r>
          </w:p>
        </w:tc>
        <w:tc>
          <w:tcPr>
            <w:tcW w:w="1077" w:type="dxa"/>
            <w:vMerge w:val="restart"/>
          </w:tcPr>
          <w:p>
            <w:pPr>
              <w:pStyle w:val="0"/>
            </w:pPr>
            <w:r>
              <w:rPr>
                <w:sz w:val="24"/>
              </w:rPr>
            </w:r>
          </w:p>
        </w:tc>
        <w:tc>
          <w:tcPr>
            <w:tcW w:w="1757" w:type="dxa"/>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"Присвоение</w:t>
      </w:r>
    </w:p>
    <w:p>
      <w:pPr>
        <w:pStyle w:val="0"/>
        <w:jc w:val="right"/>
      </w:pPr>
      <w:r>
        <w:rPr>
          <w:sz w:val="24"/>
        </w:rPr>
        <w:t xml:space="preserve">квалификационных категорий спортивных судей"</w:t>
      </w:r>
    </w:p>
    <w:p>
      <w:pPr>
        <w:pStyle w:val="0"/>
        <w:jc w:val="both"/>
      </w:pPr>
      <w:r>
        <w:rPr>
          <w:sz w:val="24"/>
        </w:rPr>
      </w:r>
    </w:p>
    <w:bookmarkStart w:id="611" w:name="P611"/>
    <w:bookmarkEnd w:id="611"/>
    <w:p>
      <w:pPr>
        <w:pStyle w:val="2"/>
        <w:jc w:val="center"/>
      </w:pPr>
      <w:r>
        <w:rPr>
          <w:sz w:val="24"/>
        </w:rPr>
        <w:t xml:space="preserve">БЛОК-СХЕМА</w:t>
      </w:r>
    </w:p>
    <w:p>
      <w:pPr>
        <w:pStyle w:val="2"/>
        <w:jc w:val="center"/>
      </w:pPr>
      <w:r>
        <w:rPr>
          <w:sz w:val="24"/>
        </w:rPr>
        <w:t xml:space="preserve">ПОСЛЕДОВАТЕЛЬНОСТИ ДЕЙСТВИИ ПРИ ПРЕДОСТАВЛЕНИИ</w:t>
      </w:r>
    </w:p>
    <w:p>
      <w:pPr>
        <w:pStyle w:val="2"/>
        <w:jc w:val="center"/>
      </w:pPr>
      <w:r>
        <w:rPr>
          <w:sz w:val="24"/>
        </w:rPr>
        <w:t xml:space="preserve">ГОСУДАРСТВЕННОЙ УСЛУГИ "ПРИСВОЕНИЕ КВАЛИФИКАЦИОННЫХ</w:t>
      </w:r>
    </w:p>
    <w:p>
      <w:pPr>
        <w:pStyle w:val="2"/>
        <w:jc w:val="center"/>
      </w:pPr>
      <w:r>
        <w:rPr>
          <w:sz w:val="24"/>
        </w:rPr>
        <w:t xml:space="preserve">КАТЕГОРИЙ СПОРТИВНЫХ СУДЕЙ"</w:t>
      </w:r>
    </w:p>
    <w:p>
      <w:pPr>
        <w:pStyle w:val="0"/>
        <w:jc w:val="both"/>
      </w:pPr>
      <w:r>
        <w:rPr>
          <w:sz w:val="24"/>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2282"/>
        <w:gridCol w:w="1928"/>
        <w:gridCol w:w="510"/>
        <w:gridCol w:w="2173"/>
        <w:gridCol w:w="2154"/>
      </w:tblGrid>
      <w:tr>
        <w:tblPrEx>
          <w:tblBorders>
            <w:left w:val="single" w:sz="4"/>
            <w:right w:val="single" w:sz="4"/>
          </w:tblBorders>
        </w:tblPrEx>
        <w:tc>
          <w:tcPr>
            <w:gridSpan w:val="2"/>
            <w:tcW w:w="4210" w:type="dxa"/>
            <w:vAlign w:val="center"/>
          </w:tcPr>
          <w:p>
            <w:pPr>
              <w:pStyle w:val="0"/>
              <w:jc w:val="center"/>
            </w:pPr>
            <w:r>
              <w:rPr>
                <w:sz w:val="24"/>
              </w:rPr>
              <w:t xml:space="preserve">Обращение заявителя лично в Департамент с документами необходимыми для предоставления государственной услуги</w:t>
            </w:r>
          </w:p>
        </w:tc>
        <w:tc>
          <w:tcPr>
            <w:tcW w:w="510" w:type="dxa"/>
            <w:vAlign w:val="center"/>
            <w:tcBorders>
              <w:top w:val="nil"/>
              <w:bottom w:val="nil"/>
            </w:tcBorders>
          </w:tcPr>
          <w:p>
            <w:pPr>
              <w:pStyle w:val="0"/>
            </w:pPr>
            <w:r>
              <w:rPr>
                <w:sz w:val="24"/>
              </w:rPr>
            </w:r>
          </w:p>
        </w:tc>
        <w:tc>
          <w:tcPr>
            <w:gridSpan w:val="2"/>
            <w:tcW w:w="4327" w:type="dxa"/>
            <w:vAlign w:val="center"/>
          </w:tcPr>
          <w:p>
            <w:pPr>
              <w:pStyle w:val="0"/>
              <w:jc w:val="center"/>
            </w:pPr>
            <w:r>
              <w:rPr>
                <w:sz w:val="24"/>
              </w:rPr>
              <w:t xml:space="preserve">Обращение заявителя в электронном виде через Единый портал государственных и муниципальных услуг (функций)</w:t>
            </w:r>
          </w:p>
        </w:tc>
      </w:tr>
      <w:tr>
        <w:tblPrEx>
          <w:tblBorders>
            <w:insideV w:val="nil"/>
          </w:tblBorders>
        </w:tblPrEx>
        <w:tc>
          <w:tcPr>
            <w:gridSpan w:val="2"/>
            <w:tcW w:w="4210" w:type="dxa"/>
            <w:vAlign w:val="center"/>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c>
          <w:tcPr>
            <w:tcW w:w="510" w:type="dxa"/>
            <w:vAlign w:val="center"/>
            <w:tcBorders>
              <w:top w:val="nil"/>
              <w:bottom w:val="nil"/>
            </w:tcBorders>
          </w:tcPr>
          <w:p>
            <w:pPr>
              <w:pStyle w:val="0"/>
            </w:pPr>
            <w:r>
              <w:rPr>
                <w:sz w:val="24"/>
              </w:rPr>
            </w:r>
          </w:p>
        </w:tc>
        <w:tc>
          <w:tcPr>
            <w:gridSpan w:val="2"/>
            <w:tcW w:w="4327" w:type="dxa"/>
            <w:vAlign w:val="center"/>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r>
      <w:tr>
        <w:tblPrEx>
          <w:tblBorders>
            <w:left w:val="single" w:sz="4"/>
            <w:right w:val="single" w:sz="4"/>
          </w:tblBorders>
        </w:tblPrEx>
        <w:tc>
          <w:tcPr>
            <w:gridSpan w:val="2"/>
            <w:tcW w:w="4210" w:type="dxa"/>
            <w:vAlign w:val="center"/>
          </w:tcPr>
          <w:p>
            <w:pPr>
              <w:pStyle w:val="0"/>
              <w:jc w:val="center"/>
            </w:pPr>
            <w:r>
              <w:rPr>
                <w:sz w:val="24"/>
              </w:rPr>
              <w:t xml:space="preserve">Прием и регистрация документов, предоставленных заявителем для получения государственной услуги (15 минут)</w:t>
            </w:r>
          </w:p>
        </w:tc>
        <w:tc>
          <w:tcPr>
            <w:tcW w:w="510" w:type="dxa"/>
            <w:vAlign w:val="center"/>
            <w:tcBorders>
              <w:top w:val="nil"/>
              <w:bottom w:val="nil"/>
            </w:tcBorders>
          </w:tcPr>
          <w:p>
            <w:pPr>
              <w:pStyle w:val="0"/>
            </w:pPr>
            <w:r>
              <w:rPr>
                <w:sz w:val="24"/>
              </w:rPr>
            </w:r>
          </w:p>
        </w:tc>
        <w:tc>
          <w:tcPr>
            <w:gridSpan w:val="2"/>
            <w:tcW w:w="4327" w:type="dxa"/>
            <w:vAlign w:val="center"/>
          </w:tcPr>
          <w:p>
            <w:pPr>
              <w:pStyle w:val="0"/>
              <w:jc w:val="center"/>
            </w:pPr>
            <w:r>
              <w:rPr>
                <w:sz w:val="24"/>
              </w:rPr>
              <w:t xml:space="preserve">Прием и регистрация документов, предоставленных заявителем для получения государственной услуги (1 рабочий день)</w:t>
            </w:r>
          </w:p>
        </w:tc>
      </w:tr>
      <w:tr>
        <w:tblPrEx>
          <w:tblBorders>
            <w:insideV w:val="nil"/>
          </w:tblBorders>
        </w:tblPrEx>
        <w:tc>
          <w:tcPr>
            <w:gridSpan w:val="2"/>
            <w:tcW w:w="4210" w:type="dxa"/>
            <w:vAlign w:val="center"/>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c>
          <w:tcPr>
            <w:tcW w:w="510" w:type="dxa"/>
            <w:vAlign w:val="center"/>
            <w:tcBorders>
              <w:top w:val="nil"/>
              <w:bottom w:val="nil"/>
            </w:tcBorders>
          </w:tcPr>
          <w:p>
            <w:pPr>
              <w:pStyle w:val="0"/>
            </w:pPr>
            <w:r>
              <w:rPr>
                <w:sz w:val="24"/>
              </w:rPr>
            </w:r>
          </w:p>
        </w:tc>
        <w:tc>
          <w:tcPr>
            <w:gridSpan w:val="2"/>
            <w:tcW w:w="4327" w:type="dxa"/>
            <w:vAlign w:val="center"/>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r>
      <w:tr>
        <w:tblPrEx>
          <w:tblBorders>
            <w:left w:val="single" w:sz="4"/>
            <w:right w:val="single" w:sz="4"/>
          </w:tblBorders>
        </w:tblPrEx>
        <w:tc>
          <w:tcPr>
            <w:gridSpan w:val="2"/>
            <w:tcW w:w="4210" w:type="dxa"/>
            <w:vAlign w:val="center"/>
          </w:tcPr>
          <w:p>
            <w:pPr>
              <w:pStyle w:val="0"/>
              <w:jc w:val="center"/>
            </w:pPr>
            <w:r>
              <w:rPr>
                <w:sz w:val="24"/>
              </w:rPr>
              <w:t xml:space="preserve">Проверка документов, предоставленных заявителем, подготовка проекта протокола заседания комиссии по присвоению судейских категорий (16 рабочих дней)</w:t>
            </w:r>
          </w:p>
        </w:tc>
        <w:tc>
          <w:tcPr>
            <w:tcW w:w="510" w:type="dxa"/>
            <w:vAlign w:val="center"/>
            <w:tcBorders>
              <w:top w:val="nil"/>
              <w:bottom w:val="nil"/>
            </w:tcBorders>
          </w:tcPr>
          <w:p>
            <w:pPr>
              <w:pStyle w:val="0"/>
            </w:pPr>
            <w:r>
              <w:rPr>
                <w:sz w:val="24"/>
              </w:rPr>
            </w:r>
          </w:p>
        </w:tc>
        <w:tc>
          <w:tcPr>
            <w:gridSpan w:val="2"/>
            <w:tcW w:w="4327" w:type="dxa"/>
            <w:vAlign w:val="center"/>
          </w:tcPr>
          <w:p>
            <w:pPr>
              <w:pStyle w:val="0"/>
              <w:jc w:val="center"/>
            </w:pPr>
            <w:r>
              <w:rPr>
                <w:sz w:val="24"/>
              </w:rPr>
              <w:t xml:space="preserve">Присвоение запросу в электронной форме уникального номера, по которому в соответствующем разделе Портала заявителю будет представлена информация о ходе выполнения указанного запроса</w:t>
            </w:r>
          </w:p>
        </w:tc>
      </w:tr>
      <w:tr>
        <w:tblPrEx>
          <w:tblBorders>
            <w:insideV w:val="nil"/>
          </w:tblBorders>
        </w:tblPrEx>
        <w:tc>
          <w:tcPr>
            <w:gridSpan w:val="2"/>
            <w:tcW w:w="4210" w:type="dxa"/>
            <w:vAlign w:val="center"/>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c>
          <w:tcPr>
            <w:tcW w:w="510" w:type="dxa"/>
            <w:vAlign w:val="center"/>
            <w:tcBorders>
              <w:top w:val="nil"/>
              <w:bottom w:val="nil"/>
            </w:tcBorders>
          </w:tcPr>
          <w:p>
            <w:pPr>
              <w:pStyle w:val="0"/>
            </w:pPr>
            <w:r>
              <w:rPr>
                <w:sz w:val="24"/>
              </w:rPr>
            </w:r>
          </w:p>
        </w:tc>
        <w:tc>
          <w:tcPr>
            <w:gridSpan w:val="2"/>
            <w:tcW w:w="4327" w:type="dxa"/>
            <w:vAlign w:val="center"/>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r>
      <w:tr>
        <w:tblPrEx>
          <w:tblBorders>
            <w:left w:val="single" w:sz="4"/>
            <w:right w:val="single" w:sz="4"/>
          </w:tblBorders>
        </w:tblPrEx>
        <w:tc>
          <w:tcPr>
            <w:gridSpan w:val="2"/>
            <w:tcW w:w="4210" w:type="dxa"/>
            <w:vAlign w:val="center"/>
          </w:tcPr>
          <w:p>
            <w:pPr>
              <w:pStyle w:val="0"/>
              <w:jc w:val="center"/>
            </w:pPr>
            <w:r>
              <w:rPr>
                <w:sz w:val="24"/>
              </w:rPr>
              <w:t xml:space="preserve">Передача документов и проекта протокола заседания комиссии по присвоению судейских категорий членам комиссии на ознакомление (3 рабочих дня)</w:t>
            </w:r>
          </w:p>
        </w:tc>
        <w:tc>
          <w:tcPr>
            <w:tcW w:w="510" w:type="dxa"/>
            <w:vAlign w:val="center"/>
            <w:tcBorders>
              <w:top w:val="nil"/>
              <w:bottom w:val="nil"/>
            </w:tcBorders>
          </w:tcPr>
          <w:p>
            <w:pPr>
              <w:pStyle w:val="0"/>
            </w:pPr>
            <w:r>
              <w:rPr>
                <w:sz w:val="24"/>
              </w:rPr>
            </w:r>
          </w:p>
        </w:tc>
        <w:tc>
          <w:tcPr>
            <w:gridSpan w:val="2"/>
            <w:tcW w:w="4327" w:type="dxa"/>
            <w:vAlign w:val="center"/>
          </w:tcPr>
          <w:p>
            <w:pPr>
              <w:pStyle w:val="0"/>
              <w:jc w:val="center"/>
            </w:pPr>
            <w:r>
              <w:rPr>
                <w:sz w:val="24"/>
              </w:rPr>
              <w:t xml:space="preserve">Обновление статуса запроса заявителя в личном кабинете на Портале до статуса "принято" (1 рабочий день)</w:t>
            </w:r>
          </w:p>
        </w:tc>
      </w:tr>
      <w:tr>
        <w:tblPrEx>
          <w:tblBorders>
            <w:insideV w:val="nil"/>
          </w:tblBorders>
        </w:tblPrEx>
        <w:tc>
          <w:tcPr>
            <w:gridSpan w:val="2"/>
            <w:tcW w:w="4210" w:type="dxa"/>
            <w:vAlign w:val="center"/>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c>
          <w:tcPr>
            <w:tcW w:w="510" w:type="dxa"/>
            <w:vAlign w:val="center"/>
            <w:tcBorders>
              <w:top w:val="nil"/>
              <w:bottom w:val="nil"/>
            </w:tcBorders>
          </w:tcPr>
          <w:p>
            <w:pPr>
              <w:pStyle w:val="0"/>
            </w:pPr>
            <w:r>
              <w:rPr>
                <w:sz w:val="24"/>
              </w:rPr>
            </w:r>
          </w:p>
        </w:tc>
        <w:tc>
          <w:tcPr>
            <w:gridSpan w:val="2"/>
            <w:tcW w:w="4327" w:type="dxa"/>
            <w:vAlign w:val="center"/>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r>
      <w:tr>
        <w:tblPrEx>
          <w:tblBorders>
            <w:left w:val="single" w:sz="4"/>
            <w:right w:val="single" w:sz="4"/>
          </w:tblBorders>
        </w:tblPrEx>
        <w:tc>
          <w:tcPr>
            <w:gridSpan w:val="2"/>
            <w:tcW w:w="4210" w:type="dxa"/>
            <w:vAlign w:val="center"/>
          </w:tcPr>
          <w:p>
            <w:pPr>
              <w:pStyle w:val="0"/>
              <w:jc w:val="center"/>
            </w:pPr>
            <w:r>
              <w:rPr>
                <w:sz w:val="24"/>
              </w:rPr>
              <w:t xml:space="preserve">Заседание Комиссии по присвоению судейских категорий (1 рабочий день)</w:t>
            </w:r>
          </w:p>
        </w:tc>
        <w:tc>
          <w:tcPr>
            <w:tcW w:w="510" w:type="dxa"/>
            <w:vAlign w:val="center"/>
            <w:tcBorders>
              <w:top w:val="nil"/>
              <w:bottom w:val="nil"/>
            </w:tcBorders>
          </w:tcPr>
          <w:p>
            <w:pPr>
              <w:pStyle w:val="0"/>
              <w:jc w:val="center"/>
            </w:pPr>
            <w:r>
              <w:rPr>
                <w:position w:val="-1"/>
              </w:rPr>
              <w:drawing>
                <wp:inline distT="0" distB="0" distL="0" distR="0">
                  <wp:extent cx="228600" cy="1714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p>
        </w:tc>
        <w:tc>
          <w:tcPr>
            <w:gridSpan w:val="2"/>
            <w:tcW w:w="4327" w:type="dxa"/>
            <w:vAlign w:val="center"/>
          </w:tcPr>
          <w:p>
            <w:pPr>
              <w:pStyle w:val="0"/>
              <w:jc w:val="center"/>
            </w:pPr>
            <w:r>
              <w:rPr>
                <w:sz w:val="24"/>
              </w:rPr>
              <w:t xml:space="preserve">Проверка документов, предоставленных заявителем, подготовка проекта протокола заседания комиссии по присвоению судейских категорий (16 рабочих дня)</w:t>
            </w:r>
          </w:p>
        </w:tc>
      </w:tr>
      <w:tr>
        <w:tblPrEx>
          <w:tblBorders>
            <w:insideV w:val="nil"/>
            <w:insideH w:val="nil"/>
          </w:tblBorders>
        </w:tblPrEx>
        <w:tc>
          <w:tcPr>
            <w:tcW w:w="2282" w:type="dxa"/>
            <w:tcBorders>
              <w:bottom w:val="nil"/>
            </w:tcBorders>
          </w:tcPr>
          <w:p>
            <w:pPr>
              <w:pStyle w:val="0"/>
            </w:pPr>
            <w:r>
              <w:rPr>
                <w:sz w:val="24"/>
              </w:rPr>
            </w:r>
          </w:p>
        </w:tc>
        <w:tc>
          <w:tcPr>
            <w:tcW w:w="1928" w:type="dxa"/>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c>
          <w:tcPr>
            <w:gridSpan w:val="3"/>
            <w:tcW w:w="4837" w:type="dxa"/>
            <w:tcBorders>
              <w:top w:val="nil"/>
              <w:bottom w:val="nil"/>
            </w:tcBorders>
          </w:tcPr>
          <w:p>
            <w:pPr>
              <w:pStyle w:val="0"/>
            </w:pPr>
            <w:r>
              <w:rPr>
                <w:sz w:val="24"/>
              </w:rPr>
            </w:r>
          </w:p>
        </w:tc>
      </w:tr>
      <w:tr>
        <w:tblPrEx>
          <w:tblBorders>
            <w:insideH w:val="nil"/>
          </w:tblBorders>
        </w:tblPrEx>
        <w:tc>
          <w:tcPr>
            <w:tcW w:w="2282" w:type="dxa"/>
            <w:vAlign w:val="center"/>
            <w:tcBorders>
              <w:top w:val="nil"/>
              <w:left w:val="nil"/>
              <w:bottom w:val="nil"/>
            </w:tcBorders>
          </w:tcPr>
          <w:p>
            <w:pPr>
              <w:pStyle w:val="0"/>
            </w:pPr>
            <w:r>
              <w:rPr>
                <w:sz w:val="24"/>
              </w:rPr>
            </w:r>
          </w:p>
        </w:tc>
        <w:tc>
          <w:tcPr>
            <w:gridSpan w:val="3"/>
            <w:tcW w:w="4611" w:type="dxa"/>
            <w:vAlign w:val="center"/>
          </w:tcPr>
          <w:p>
            <w:pPr>
              <w:pStyle w:val="0"/>
              <w:jc w:val="center"/>
            </w:pPr>
            <w:r>
              <w:rPr>
                <w:sz w:val="24"/>
              </w:rPr>
              <w:t xml:space="preserve">Подготовка проекта распоряжения о присвоении судейских категорий (1 рабочий день)</w:t>
            </w:r>
          </w:p>
        </w:tc>
        <w:tc>
          <w:tcPr>
            <w:tcW w:w="2154" w:type="dxa"/>
            <w:vAlign w:val="center"/>
            <w:tcBorders>
              <w:top w:val="nil"/>
              <w:bottom w:val="nil"/>
              <w:right w:val="nil"/>
            </w:tcBorders>
          </w:tcPr>
          <w:p>
            <w:pPr>
              <w:pStyle w:val="0"/>
            </w:pPr>
            <w:r>
              <w:rPr>
                <w:sz w:val="24"/>
              </w:rPr>
            </w:r>
          </w:p>
        </w:tc>
      </w:tr>
      <w:tr>
        <w:tblPrEx>
          <w:tblBorders>
            <w:insideH w:val="nil"/>
          </w:tblBorders>
        </w:tblPrEx>
        <w:tc>
          <w:tcPr>
            <w:gridSpan w:val="5"/>
            <w:tcW w:w="9047" w:type="dxa"/>
            <w:vAlign w:val="center"/>
            <w:tcBorders>
              <w:top w:val="nil"/>
              <w:left w:val="nil"/>
              <w:bottom w:val="nil"/>
              <w:right w:val="nil"/>
            </w:tcBorders>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r>
      <w:tr>
        <w:tblPrEx>
          <w:tblBorders>
            <w:insideH w:val="nil"/>
          </w:tblBorders>
        </w:tblPrEx>
        <w:tc>
          <w:tcPr>
            <w:tcW w:w="2282" w:type="dxa"/>
            <w:vAlign w:val="center"/>
            <w:tcBorders>
              <w:top w:val="nil"/>
              <w:left w:val="nil"/>
              <w:bottom w:val="nil"/>
            </w:tcBorders>
          </w:tcPr>
          <w:p>
            <w:pPr>
              <w:pStyle w:val="0"/>
            </w:pPr>
            <w:r>
              <w:rPr>
                <w:sz w:val="24"/>
              </w:rPr>
            </w:r>
          </w:p>
        </w:tc>
        <w:tc>
          <w:tcPr>
            <w:gridSpan w:val="3"/>
            <w:tcW w:w="4611" w:type="dxa"/>
            <w:vAlign w:val="center"/>
          </w:tcPr>
          <w:p>
            <w:pPr>
              <w:pStyle w:val="0"/>
              <w:jc w:val="center"/>
            </w:pPr>
            <w:r>
              <w:rPr>
                <w:sz w:val="24"/>
              </w:rPr>
              <w:t xml:space="preserve">Подписание проекта распоряжения о присвоении судейских категорий начальником Департамента (1 рабочий день)</w:t>
            </w:r>
          </w:p>
        </w:tc>
        <w:tc>
          <w:tcPr>
            <w:tcW w:w="2154" w:type="dxa"/>
            <w:vAlign w:val="center"/>
            <w:tcBorders>
              <w:top w:val="nil"/>
              <w:bottom w:val="nil"/>
              <w:right w:val="nil"/>
            </w:tcBorders>
          </w:tcPr>
          <w:p>
            <w:pPr>
              <w:pStyle w:val="0"/>
            </w:pPr>
            <w:r>
              <w:rPr>
                <w:sz w:val="24"/>
              </w:rPr>
            </w:r>
          </w:p>
        </w:tc>
      </w:tr>
      <w:tr>
        <w:tblPrEx>
          <w:tblBorders>
            <w:insideH w:val="nil"/>
          </w:tblBorders>
        </w:tblPrEx>
        <w:tc>
          <w:tcPr>
            <w:gridSpan w:val="5"/>
            <w:tcW w:w="9047" w:type="dxa"/>
            <w:vAlign w:val="center"/>
            <w:tcBorders>
              <w:top w:val="nil"/>
              <w:left w:val="nil"/>
              <w:bottom w:val="nil"/>
              <w:right w:val="nil"/>
            </w:tcBorders>
          </w:tcPr>
          <w:p>
            <w:pPr>
              <w:pStyle w:val="0"/>
              <w:jc w:val="center"/>
            </w:pPr>
            <w:r>
              <w:rPr>
                <w:position w:val="-6"/>
              </w:rPr>
              <w:drawing>
                <wp:inline distT="0" distB="0" distL="0" distR="0">
                  <wp:extent cx="17145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40030"/>
                          </a:xfrm>
                          <a:prstGeom prst="rect">
                            <a:avLst/>
                          </a:prstGeom>
                          <a:noFill/>
                          <a:ln>
                            <a:noFill/>
                          </a:ln>
                        </pic:spPr>
                      </pic:pic>
                    </a:graphicData>
                  </a:graphic>
                </wp:inline>
              </w:drawing>
            </w:r>
          </w:p>
        </w:tc>
      </w:tr>
      <w:tr>
        <w:tblPrEx>
          <w:tblBorders>
            <w:insideH w:val="nil"/>
          </w:tblBorders>
        </w:tblPrEx>
        <w:tc>
          <w:tcPr>
            <w:tcW w:w="2282" w:type="dxa"/>
            <w:vAlign w:val="center"/>
            <w:tcBorders>
              <w:top w:val="nil"/>
              <w:left w:val="nil"/>
              <w:bottom w:val="nil"/>
            </w:tcBorders>
          </w:tcPr>
          <w:p>
            <w:pPr>
              <w:pStyle w:val="0"/>
            </w:pPr>
            <w:r>
              <w:rPr>
                <w:sz w:val="24"/>
              </w:rPr>
            </w:r>
          </w:p>
        </w:tc>
        <w:tc>
          <w:tcPr>
            <w:gridSpan w:val="3"/>
            <w:tcW w:w="4611" w:type="dxa"/>
            <w:vAlign w:val="center"/>
          </w:tcPr>
          <w:p>
            <w:pPr>
              <w:pStyle w:val="0"/>
              <w:jc w:val="center"/>
            </w:pPr>
            <w:r>
              <w:rPr>
                <w:sz w:val="24"/>
              </w:rPr>
              <w:t xml:space="preserve">Уведомление заявителя о результате предоставления государственной услуги, размещение распоряжения о присвоении судейских категорий (10 рабочих дней) на сайте Департамента</w:t>
            </w:r>
          </w:p>
        </w:tc>
        <w:tc>
          <w:tcPr>
            <w:tcW w:w="2154" w:type="dxa"/>
            <w:vAlign w:val="center"/>
            <w:tcBorders>
              <w:top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спорта Томской области от 29.01.2025 N 4</w:t>
            <w:br/>
            <w:t>(ред. от 01.04.2025)</w:t>
            <w:br/>
            <w:t>"Об утверждении Административного регл...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Департамента спорта Томской области от 29.01.2025 N 4</w:t>
            <w:br/>
            <w:t>(ред. от 01.04.2025)</w:t>
            <w:br/>
            <w:t>"Об утверждении Административного регл...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02.09.2025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image" Target="media/image2.wmf"/>
	<Relationship Id="rId10" Type="http://schemas.openxmlformats.org/officeDocument/2006/relationships/image" Target="media/image3.wmf"/>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спорта Томской области от 29.01.2025 N 4
(ред. от 01.04.2025)
"Об утверждении Административного регламента предоставления государственной услуги "Присвоение квалификационных категорий спортивных судей"</dc:title>
  <dcterms:created xsi:type="dcterms:W3CDTF">2025-09-02T07:21:55Z</dcterms:created>
</cp:coreProperties>
</file>