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3.0 -->
  <w:body>
    <w:tbl>
      <w:tblPr>
        <w:tblW w:w="9638" w:type="dxa"/>
        <w:tblBorders>
          <w:bottom w:val="single" w:sz="4" w:space="0" w:color="auto"/>
        </w:tblBorders>
        <w:tblLayout w:type="fixed"/>
        <w:tblCellMar>
          <w:left w:w="0" w:type="dxa"/>
          <w:right w:w="0" w:type="dxa"/>
        </w:tblCellMar>
        <w:tblLook w:val="04A0"/>
      </w:tblPr>
      <w:tblGrid>
        <w:gridCol w:w="1701"/>
        <w:gridCol w:w="5669"/>
        <w:gridCol w:w="2268"/>
      </w:tblGrid>
      <w:tr>
        <w:tblPrEx>
          <w:tblW w:w="9638" w:type="dxa"/>
          <w:tblBorders>
            <w:bottom w:val="single" w:sz="4" w:space="0" w:color="auto"/>
          </w:tblBorders>
          <w:tblLayout w:type="fixed"/>
          <w:tblCellMar>
            <w:left w:w="0" w:type="dxa"/>
            <w:right w:w="0" w:type="dxa"/>
          </w:tblCellMar>
          <w:tblLook w:val="04A0"/>
        </w:tblPrEx>
        <w:tc>
          <w:tcPr>
            <w:tcW w:w="1701" w:type="dxa"/>
            <w:tcBorders>
              <w:bottom w:val="nil"/>
            </w:tcBorders>
          </w:tcPr>
          <w:bookmarkStart w:id="0" w:name="РегДанные"/>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sz w:val="28"/>
                <w:szCs w:val="28"/>
              </w:rPr>
            </w:pPr>
            <w:r w:rsidRPr="00AB54C8">
              <w:rPr>
                <w:rFonts w:ascii="PT Astra Serif" w:eastAsia="PT Astra Serif" w:hAnsi="PT Astra Serif" w:cs="PT Astra Serif"/>
                <w:spacing w:val="20"/>
                <w:sz w:val="28"/>
                <w:szCs w:val="28"/>
              </w:rPr>
              <w:t>10.04.2025</w:t>
            </w:r>
            <w:r w:rsidRPr="00AB54C8">
              <w:rPr>
                <w:rFonts w:ascii="PT Astra Serif" w:eastAsia="PT Astra Serif" w:hAnsi="PT Astra Serif" w:cs="PT Astra Serif"/>
                <w:spacing w:val="20"/>
                <w:sz w:val="28"/>
                <w:szCs w:val="28"/>
              </w:rPr>
              <w:fldChar w:fldCharType="begin"/>
            </w:r>
            <w:r w:rsidRPr="00AB54C8">
              <w:rPr>
                <w:rFonts w:ascii="PT Astra Serif" w:eastAsia="PT Astra Serif" w:hAnsi="PT Astra Serif" w:cs="PT Astra Serif"/>
                <w:spacing w:val="20"/>
                <w:sz w:val="28"/>
                <w:szCs w:val="28"/>
              </w:rPr>
              <w:instrText xml:space="preserve"> FORMTEXT </w:instrText>
            </w:r>
            <w:r w:rsidRPr="00AB54C8">
              <w:rPr>
                <w:rFonts w:ascii="PT Astra Serif" w:eastAsia="PT Astra Serif" w:hAnsi="PT Astra Serif" w:cs="PT Astra Serif"/>
                <w:spacing w:val="20"/>
                <w:sz w:val="28"/>
                <w:szCs w:val="28"/>
              </w:rPr>
              <w:fldChar w:fldCharType="separate"/>
            </w:r>
            <w:r w:rsidRPr="00AB54C8">
              <w:rPr>
                <w:rFonts w:ascii="PT Astra Serif" w:eastAsia="PT Astra Serif" w:hAnsi="PT Astra Serif" w:cs="PT Astra Serif"/>
                <w:spacing w:val="20"/>
                <w:sz w:val="28"/>
                <w:szCs w:val="28"/>
              </w:rPr>
              <w:fldChar w:fldCharType="end"/>
            </w:r>
            <w:bookmarkEnd w:id="0"/>
          </w:p>
        </w:tc>
        <w:tc>
          <w:tcPr>
            <w:tcW w:w="5669" w:type="dxa"/>
            <w:tcBorders>
              <w:bottom w:val="nil"/>
            </w:tcBorders>
            <w:tcMar>
              <w:right w:w="85" w:type="dxa"/>
            </w:tcMar>
          </w:tcPr>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rPr>
            </w:pPr>
          </w:p>
        </w:tc>
        <w:tc>
          <w:tcPr>
            <w:tcW w:w="2268" w:type="dxa"/>
            <w:tcBorders>
              <w:bottom w:val="nil"/>
            </w:tcBorders>
          </w:tcPr>
          <w:p w:rsidR="00BE3CF8">
            <w:pPr>
              <w:pStyle w:val="BodyText2"/>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8"/>
                <w:szCs w:val="28"/>
                <w:lang w:val="en-US"/>
              </w:rPr>
            </w:pPr>
            <w:bookmarkStart w:id="1" w:name="РегНомер"/>
            <w:r>
              <w:rPr>
                <w:rFonts w:ascii="PT Astra Serif" w:eastAsia="PT Astra Serif" w:hAnsi="PT Astra Serif" w:cs="PT Astra Serif"/>
                <w:sz w:val="28"/>
                <w:szCs w:val="28"/>
              </w:rPr>
              <w:t>№</w:t>
            </w:r>
            <w:r>
              <w:rPr>
                <w:rFonts w:ascii="PT Astra Serif" w:eastAsia="PT Astra Serif" w:hAnsi="PT Astra Serif" w:cs="PT Astra Serif"/>
                <w:sz w:val="28"/>
                <w:szCs w:val="28"/>
                <w:lang w:val="en-US"/>
              </w:rPr>
              <w:t xml:space="preserve"> </w:t>
            </w:r>
            <w:r w:rsidRPr="00AB54C8">
              <w:rPr>
                <w:rFonts w:ascii="PT Astra Serif" w:eastAsia="PT Astra Serif" w:hAnsi="PT Astra Serif" w:cs="PT Astra Serif"/>
                <w:spacing w:val="20"/>
                <w:sz w:val="28"/>
                <w:szCs w:val="28"/>
              </w:rPr>
              <w:t>13-п</w:t>
            </w:r>
            <w:r w:rsidRPr="00AB54C8">
              <w:rPr>
                <w:rFonts w:ascii="PT Astra Serif" w:eastAsia="PT Astra Serif" w:hAnsi="PT Astra Serif" w:cs="PT Astra Serif"/>
                <w:spacing w:val="20"/>
                <w:sz w:val="28"/>
                <w:szCs w:val="28"/>
              </w:rPr>
              <w:fldChar w:fldCharType="begin"/>
            </w:r>
            <w:r w:rsidRPr="00AB54C8">
              <w:rPr>
                <w:rFonts w:ascii="PT Astra Serif" w:eastAsia="PT Astra Serif" w:hAnsi="PT Astra Serif" w:cs="PT Astra Serif"/>
                <w:spacing w:val="20"/>
                <w:sz w:val="28"/>
                <w:szCs w:val="28"/>
              </w:rPr>
              <w:instrText xml:space="preserve"> FORMTEXT </w:instrText>
            </w:r>
            <w:r w:rsidRPr="00AB54C8">
              <w:rPr>
                <w:rFonts w:ascii="PT Astra Serif" w:eastAsia="PT Astra Serif" w:hAnsi="PT Astra Serif" w:cs="PT Astra Serif"/>
                <w:spacing w:val="20"/>
                <w:sz w:val="28"/>
                <w:szCs w:val="28"/>
              </w:rPr>
              <w:fldChar w:fldCharType="separate"/>
            </w:r>
            <w:r w:rsidRPr="00AB54C8">
              <w:rPr>
                <w:rFonts w:ascii="PT Astra Serif" w:eastAsia="PT Astra Serif" w:hAnsi="PT Astra Serif" w:cs="PT Astra Serif"/>
                <w:spacing w:val="20"/>
                <w:sz w:val="28"/>
                <w:szCs w:val="28"/>
              </w:rPr>
              <w:fldChar w:fldCharType="end"/>
            </w:r>
            <w:bookmarkEnd w:id="1"/>
          </w:p>
        </w:tc>
      </w:tr>
    </w:tbl>
    <w:p w:rsidR="00023A57" w:rsidP="00023A57">
      <w:pPr>
        <w:autoSpaceDE w:val="0"/>
        <w:autoSpaceDN w:val="0"/>
        <w:adjustRightInd w:val="0"/>
        <w:ind w:firstLine="709"/>
        <w:jc w:val="center"/>
        <w:rPr>
          <w:rFonts w:ascii="PT Astra Serif" w:hAnsi="PT Astra Serif"/>
          <w:sz w:val="26"/>
          <w:szCs w:val="26"/>
        </w:rPr>
      </w:pPr>
    </w:p>
    <w:p w:rsidR="00C25257" w:rsidRPr="009B2C37" w:rsidP="00E85C82">
      <w:pPr>
        <w:autoSpaceDE w:val="0"/>
        <w:autoSpaceDN w:val="0"/>
        <w:adjustRightInd w:val="0"/>
        <w:ind w:firstLine="709"/>
        <w:jc w:val="center"/>
        <w:rPr>
          <w:rFonts w:ascii="PT Astra Serif" w:hAnsi="PT Astra Serif"/>
          <w:sz w:val="26"/>
          <w:szCs w:val="26"/>
        </w:rPr>
      </w:pPr>
      <w:r>
        <w:rPr>
          <w:rFonts w:ascii="PT Astra Serif" w:hAnsi="PT Astra Serif"/>
          <w:sz w:val="26"/>
          <w:szCs w:val="26"/>
        </w:rPr>
        <w:t>О внесении изменений в п</w:t>
      </w:r>
      <w:r w:rsidRPr="00C25257">
        <w:rPr>
          <w:rFonts w:ascii="PT Astra Serif" w:hAnsi="PT Astra Serif"/>
          <w:sz w:val="26"/>
          <w:szCs w:val="26"/>
        </w:rPr>
        <w:t xml:space="preserve">риказ Департамента архитектуры и строительства </w:t>
      </w:r>
      <w:r w:rsidRPr="009B2C37">
        <w:rPr>
          <w:rFonts w:ascii="PT Astra Serif" w:hAnsi="PT Astra Serif"/>
          <w:sz w:val="26"/>
          <w:szCs w:val="26"/>
        </w:rPr>
        <w:t>Томской области от 10.05.2018 № 14-п</w:t>
      </w:r>
    </w:p>
    <w:p w:rsidR="00E85C82" w:rsidRPr="009B2C37" w:rsidP="00E85C82">
      <w:pPr>
        <w:autoSpaceDE w:val="0"/>
        <w:autoSpaceDN w:val="0"/>
        <w:adjustRightInd w:val="0"/>
        <w:ind w:firstLine="709"/>
        <w:jc w:val="center"/>
        <w:rPr>
          <w:rFonts w:ascii="PT Astra Serif" w:hAnsi="PT Astra Serif"/>
          <w:sz w:val="26"/>
          <w:szCs w:val="26"/>
        </w:rPr>
      </w:pPr>
    </w:p>
    <w:p w:rsidR="00C25257" w:rsidRPr="009B2C37" w:rsidP="00983EB6">
      <w:pPr>
        <w:autoSpaceDE w:val="0"/>
        <w:autoSpaceDN w:val="0"/>
        <w:adjustRightInd w:val="0"/>
        <w:ind w:firstLine="709"/>
        <w:jc w:val="both"/>
        <w:rPr>
          <w:rFonts w:ascii="PT Astra Serif" w:hAnsi="PT Astra Serif"/>
          <w:sz w:val="26"/>
          <w:szCs w:val="26"/>
        </w:rPr>
      </w:pPr>
      <w:r w:rsidRPr="009B2C37">
        <w:rPr>
          <w:rFonts w:ascii="PT Astra Serif" w:hAnsi="PT Astra Serif"/>
          <w:sz w:val="26"/>
          <w:szCs w:val="26"/>
        </w:rPr>
        <w:t>В целях совершенствования нормативного правового акта</w:t>
      </w:r>
    </w:p>
    <w:p w:rsidR="00023A57" w:rsidRPr="009B2C37" w:rsidP="00983EB6">
      <w:pPr>
        <w:autoSpaceDE w:val="0"/>
        <w:autoSpaceDN w:val="0"/>
        <w:adjustRightInd w:val="0"/>
        <w:ind w:firstLine="709"/>
        <w:jc w:val="both"/>
        <w:rPr>
          <w:rFonts w:ascii="PT Astra Serif" w:hAnsi="PT Astra Serif"/>
          <w:sz w:val="26"/>
          <w:szCs w:val="26"/>
        </w:rPr>
      </w:pPr>
      <w:r w:rsidRPr="009B2C37">
        <w:rPr>
          <w:rFonts w:ascii="PT Astra Serif" w:hAnsi="PT Astra Serif"/>
          <w:sz w:val="26"/>
          <w:szCs w:val="26"/>
        </w:rPr>
        <w:t>ПРИКАЗЫВАЮ:</w:t>
      </w:r>
    </w:p>
    <w:p w:rsidR="00C25257" w:rsidRPr="009B2C37" w:rsidP="00983EB6">
      <w:pPr>
        <w:pStyle w:val="NormalWeb"/>
        <w:spacing w:before="0" w:beforeAutospacing="0" w:after="0" w:afterAutospacing="0" w:line="288" w:lineRule="atLeast"/>
        <w:ind w:firstLine="709"/>
        <w:jc w:val="both"/>
        <w:rPr>
          <w:rFonts w:ascii="PT Astra Serif" w:hAnsi="PT Astra Serif"/>
          <w:sz w:val="26"/>
          <w:szCs w:val="26"/>
        </w:rPr>
      </w:pPr>
      <w:r w:rsidRPr="009B2C37">
        <w:rPr>
          <w:rFonts w:ascii="PT Astra Serif" w:hAnsi="PT Astra Serif"/>
          <w:sz w:val="26"/>
          <w:szCs w:val="26"/>
        </w:rPr>
        <w:t>1. </w:t>
      </w:r>
      <w:r w:rsidRPr="009B2C37">
        <w:rPr>
          <w:rFonts w:ascii="PT Astra Serif" w:hAnsi="PT Astra Serif"/>
          <w:sz w:val="26"/>
          <w:szCs w:val="26"/>
        </w:rPr>
        <w:t xml:space="preserve">Внести в </w:t>
      </w:r>
      <w:hyperlink r:id="rId6" w:history="1">
        <w:r w:rsidRPr="009B2C37">
          <w:rPr>
            <w:rFonts w:ascii="PT Astra Serif" w:hAnsi="PT Astra Serif"/>
            <w:sz w:val="26"/>
            <w:szCs w:val="26"/>
          </w:rPr>
          <w:t>приказ</w:t>
        </w:r>
      </w:hyperlink>
      <w:r w:rsidRPr="009B2C37">
        <w:rPr>
          <w:rFonts w:ascii="PT Astra Serif" w:hAnsi="PT Astra Serif"/>
          <w:sz w:val="26"/>
          <w:szCs w:val="26"/>
        </w:rPr>
        <w:t xml:space="preserve"> Департамента архитектуры и строительства Томской области от 10.05.2018 № 14-п «Об утверждении регламента предоставления областным государственным автономным учреждением «Управление государственной экспертизы проектной документации Томской области» услуги «Организация и проведение государственной экспертизы проектной документации и результатов инженерных изысканий» </w:t>
      </w:r>
      <w:r w:rsidRPr="00BA321D">
        <w:rPr>
          <w:rFonts w:ascii="PT Astra Serif" w:hAnsi="PT Astra Serif"/>
          <w:sz w:val="26"/>
          <w:szCs w:val="26"/>
        </w:rPr>
        <w:t>(</w:t>
      </w:r>
      <w:r w:rsidRPr="00BA321D" w:rsidR="00BA321D">
        <w:rPr>
          <w:rFonts w:ascii="PT Astra Serif" w:hAnsi="PT Astra Serif"/>
          <w:sz w:val="26"/>
          <w:szCs w:val="26"/>
        </w:rPr>
        <w:t>Официальный интернет-портал Администрации Томской области (www.tomsk.gov.ru, томскаяобласть.рф</w:t>
      </w:r>
      <w:r w:rsidRPr="00BA321D">
        <w:rPr>
          <w:rFonts w:ascii="PT Astra Serif" w:hAnsi="PT Astra Serif"/>
          <w:sz w:val="26"/>
          <w:szCs w:val="26"/>
        </w:rPr>
        <w:t>, 11.05.2018)</w:t>
      </w:r>
      <w:r w:rsidRPr="009B2C37">
        <w:rPr>
          <w:rFonts w:ascii="PT Astra Serif" w:hAnsi="PT Astra Serif"/>
          <w:sz w:val="26"/>
          <w:szCs w:val="26"/>
        </w:rPr>
        <w:t xml:space="preserve"> следующие изменения:</w:t>
      </w:r>
    </w:p>
    <w:p w:rsidR="00C25257" w:rsidRPr="00400D3A" w:rsidP="00983EB6">
      <w:pPr>
        <w:pStyle w:val="NormalWeb"/>
        <w:spacing w:before="0" w:beforeAutospacing="0" w:after="0" w:afterAutospacing="0" w:line="288" w:lineRule="atLeast"/>
        <w:ind w:firstLine="709"/>
        <w:jc w:val="both"/>
        <w:rPr>
          <w:rFonts w:ascii="PT Astra Serif" w:hAnsi="PT Astra Serif"/>
          <w:sz w:val="26"/>
          <w:szCs w:val="26"/>
        </w:rPr>
      </w:pPr>
      <w:r w:rsidRPr="00400D3A">
        <w:rPr>
          <w:rFonts w:ascii="PT Astra Serif" w:hAnsi="PT Astra Serif"/>
          <w:sz w:val="26"/>
          <w:szCs w:val="26"/>
        </w:rPr>
        <w:t>1) в преамбуле слова «архитектуры и» исключить;</w:t>
      </w:r>
    </w:p>
    <w:p w:rsidR="00C25257"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2) в </w:t>
      </w:r>
      <w:hyperlink r:id="rId7" w:history="1">
        <w:r w:rsidRPr="00400D3A">
          <w:rPr>
            <w:rFonts w:ascii="PT Astra Serif" w:hAnsi="PT Astra Serif"/>
            <w:sz w:val="26"/>
            <w:szCs w:val="26"/>
          </w:rPr>
          <w:t>регламенте</w:t>
        </w:r>
      </w:hyperlink>
      <w:r w:rsidRPr="00400D3A">
        <w:rPr>
          <w:rFonts w:ascii="PT Astra Serif" w:hAnsi="PT Astra Serif"/>
          <w:sz w:val="26"/>
          <w:szCs w:val="26"/>
        </w:rPr>
        <w:t xml:space="preserve"> предоставления областным государственным автономным учреждением «Управление государственной экспертизы проектной документации Томской области» услуги «Организация и проведение государственной экспертизы проектной документации и результатов инженерных изысканий», утвержденном указанным приказом:</w:t>
      </w:r>
    </w:p>
    <w:p w:rsidR="00DB4C63"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а) </w:t>
      </w:r>
      <w:r w:rsidRPr="00400D3A">
        <w:rPr>
          <w:rFonts w:ascii="PT Astra Serif" w:hAnsi="PT Astra Serif"/>
          <w:sz w:val="26"/>
          <w:szCs w:val="26"/>
        </w:rPr>
        <w:t>пункт 2 изложить в следующей редакции:</w:t>
      </w:r>
    </w:p>
    <w:p w:rsidR="00DB4C63"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«2. Заявителями на предоставление услуги являются: технический заказчик, застройщик или уполномоченное кем-либо из них лицо, обратившиеся с заявлением о проведении государственной экспертизы, а также лицо, обеспечившее выполнение инженерных изысканий и (или) подготовку проектной документации в случаях, предусмотренных </w:t>
      </w:r>
      <w:hyperlink r:id="rId8" w:history="1">
        <w:r w:rsidRPr="00400D3A">
          <w:rPr>
            <w:rFonts w:ascii="PT Astra Serif" w:hAnsi="PT Astra Serif"/>
            <w:sz w:val="26"/>
            <w:szCs w:val="26"/>
          </w:rPr>
          <w:t>частями 1.1</w:t>
        </w:r>
      </w:hyperlink>
      <w:r w:rsidRPr="00400D3A">
        <w:rPr>
          <w:rFonts w:ascii="PT Astra Serif" w:hAnsi="PT Astra Serif"/>
          <w:sz w:val="26"/>
          <w:szCs w:val="26"/>
        </w:rPr>
        <w:t xml:space="preserve"> и </w:t>
      </w:r>
      <w:hyperlink r:id="rId9" w:history="1">
        <w:r w:rsidRPr="00400D3A">
          <w:rPr>
            <w:rFonts w:ascii="PT Astra Serif" w:hAnsi="PT Astra Serif"/>
            <w:sz w:val="26"/>
            <w:szCs w:val="26"/>
          </w:rPr>
          <w:t>1.2 статьи 48</w:t>
        </w:r>
      </w:hyperlink>
      <w:r w:rsidRPr="00400D3A">
        <w:rPr>
          <w:rFonts w:ascii="PT Astra Serif" w:hAnsi="PT Astra Serif"/>
          <w:sz w:val="26"/>
          <w:szCs w:val="26"/>
        </w:rPr>
        <w:t xml:space="preserve"> Градостроительного кодекса Российской Федерации.»;</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б) пункт 6 изложить в следующей редакции:</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«6. Результатом государственной экспертизы результатов инженерных изысканий является </w:t>
      </w:r>
      <w:hyperlink r:id="rId10" w:history="1">
        <w:r w:rsidRPr="00400D3A">
          <w:rPr>
            <w:rFonts w:ascii="PT Astra Serif" w:hAnsi="PT Astra Serif"/>
            <w:sz w:val="26"/>
            <w:szCs w:val="26"/>
          </w:rPr>
          <w:t>заключение</w:t>
        </w:r>
      </w:hyperlink>
      <w:r w:rsidRPr="00400D3A">
        <w:rPr>
          <w:rFonts w:ascii="PT Astra Serif" w:hAnsi="PT Astra Serif"/>
          <w:sz w:val="26"/>
          <w:szCs w:val="26"/>
        </w:rPr>
        <w:t xml:space="preserve"> о соответствии (положительное заключение) или несоответствии (отрицательное заключение) результатов инженерных изысканий требованиям технических регламентов.</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Результатом государственной экспертизы проектной документации является заключение:</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о соответствии (положительное заключение) или несоответствии (отрицательное заключение) проектной документации требованиям технических регламентов, санитарно-эпидемиологическим требованиям, требованиям в области охраны окружающей среды, требованиям государственной охраны объектов культурного наследия, требованиям к безопасному использованию атомной энергии, требованиям промышленной безопасности, требованиям к обеспечению надежности и безопасности электроэнергетических систем и объектов электроэнергетики, требованиям антитеррористической защищенности объекта, заданию застройщика или технического заказчика на проектирование, результатам </w:t>
      </w:r>
      <w:r w:rsidRPr="00400D3A">
        <w:rPr>
          <w:rFonts w:ascii="PT Astra Serif" w:hAnsi="PT Astra Serif"/>
          <w:sz w:val="26"/>
          <w:szCs w:val="26"/>
        </w:rPr>
        <w:t>инженерных изысканий - в случае, если осуществлялась оценка соответствия проектной документации;</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о достоверности (положительное заключение) или недостоверности (отрицательное заключение) определения сметной стоимости - в случае, если осуществлялась проверка сметной стоимости.</w:t>
      </w:r>
    </w:p>
    <w:p w:rsidR="000C01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проведения государственной экспертизы проектной документации, подготовленной с использованием типовой проектной документации, в заключение не включаются выводы о соответствии или несоответствии разделов типовой проектной документации, в которые изменения не вносились, требов</w:t>
      </w:r>
      <w:r w:rsidRPr="00400D3A" w:rsidR="00B63EB0">
        <w:rPr>
          <w:rFonts w:ascii="PT Astra Serif" w:hAnsi="PT Astra Serif"/>
          <w:sz w:val="26"/>
          <w:szCs w:val="26"/>
        </w:rPr>
        <w:t>аниям технических регламентов.»;</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пункт 7 изложить в следующей редакции:</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«7. Проведение государственной экспертизы проектной документации и результатов инженерных изысканий в отношении объектов капитального строительства, финансирование строительства, реконструкции или капитального ремонта которых осуществляется с привлечением средств бюджетов бюджетной системы Российской Федерации, средств государственных компаний и корпораций, начинается после заключения договора и завершается направлением (вручением) заявителю заключения государственной экспертизы, включенного в единый государственный реестр заключений экспертизы проектной документации объектов капитального строительства (за исключением случаев, если документы, необходимые для проведения государственной экспертизы проектной документации и результатов инженерных изысканий, содержат сведения, составляющие государственную тайну).</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отношении иных объектов капитального строительства проведение государственной экспертизы проектной документации и результатов инженерных изысканий начинается после представления заявителем документов, подтверждающих внесение платы за проведение государственной экспертизы в соответствии с договором, и завершается направлением (вручением) заявителю заключения государственной экспертизы, включенного в единый государственный реестр заключений экспертизы проектной документации объектов капитального строительства (за исключением случаев, если документы, необходимые для проведения государственной экспертизы проектной документации и результатов инженерных изысканий, содержат сведения, составляющие государственную тайну).</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Срок проведения государственной экспертизы проектной документации и результатов инженерных изысканий не должен превышать 42 рабочих дней. В течение 30 рабочих дней проводится государственная экспертиза:</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результатов инженерных изысканий, которые направлены на государственную экспертизу до направления на эту экспертизу проектной документации;</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проектной документации или проектной документации и результатов инженерных изысканий в отношении объектов капитального строительства, строительство, реконструкция которых будут осуществляться в особых экономических зонах;</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проектной документации в объеме, предусмотренном </w:t>
      </w:r>
      <w:hyperlink r:id="rId11" w:history="1">
        <w:r w:rsidRPr="00400D3A">
          <w:rPr>
            <w:rFonts w:ascii="PT Astra Serif" w:hAnsi="PT Astra Serif"/>
            <w:sz w:val="26"/>
            <w:szCs w:val="26"/>
          </w:rPr>
          <w:t>подпунктом «б» пункта 27</w:t>
        </w:r>
      </w:hyperlink>
      <w:r w:rsidRPr="00400D3A">
        <w:rPr>
          <w:rFonts w:ascii="PT Astra Serif" w:hAnsi="PT Astra Serif"/>
          <w:sz w:val="26"/>
          <w:szCs w:val="26"/>
        </w:rPr>
        <w:t xml:space="preserve"> Положения об организации и проведении государственной экспертизы проектной документации и результатов инжен</w:t>
      </w:r>
      <w:r w:rsidRPr="00400D3A" w:rsidR="00112C32">
        <w:rPr>
          <w:rFonts w:ascii="PT Astra Serif" w:hAnsi="PT Astra Serif"/>
          <w:sz w:val="26"/>
          <w:szCs w:val="26"/>
        </w:rPr>
        <w:t>ерных изысканий, утвержденного п</w:t>
      </w:r>
      <w:r w:rsidRPr="00400D3A">
        <w:rPr>
          <w:rFonts w:ascii="PT Astra Serif" w:hAnsi="PT Astra Serif"/>
          <w:sz w:val="26"/>
          <w:szCs w:val="26"/>
        </w:rPr>
        <w:t>остановлением Правительства Российской</w:t>
      </w:r>
      <w:r w:rsidRPr="00400D3A" w:rsidR="00C92773">
        <w:rPr>
          <w:rFonts w:ascii="PT Astra Serif" w:hAnsi="PT Astra Serif"/>
          <w:sz w:val="26"/>
          <w:szCs w:val="26"/>
        </w:rPr>
        <w:t xml:space="preserve"> Федерации от 05.03.2007 № 145 «</w:t>
      </w:r>
      <w:r w:rsidRPr="00400D3A">
        <w:rPr>
          <w:rFonts w:ascii="PT Astra Serif" w:hAnsi="PT Astra Serif"/>
          <w:sz w:val="26"/>
          <w:szCs w:val="26"/>
        </w:rPr>
        <w:t>О порядке организации и проведения государственной экспертизы проектной документации и результатов инженерных изысканий</w:t>
      </w:r>
      <w:r w:rsidRPr="00400D3A" w:rsidR="00C92773">
        <w:rPr>
          <w:rFonts w:ascii="PT Astra Serif" w:hAnsi="PT Astra Serif"/>
          <w:sz w:val="26"/>
          <w:szCs w:val="26"/>
        </w:rPr>
        <w:t>»</w:t>
      </w:r>
      <w:r w:rsidRPr="00400D3A">
        <w:rPr>
          <w:rFonts w:ascii="PT Astra Serif" w:hAnsi="PT Astra Serif"/>
          <w:sz w:val="26"/>
          <w:szCs w:val="26"/>
        </w:rPr>
        <w:t xml:space="preserve"> (далее - Положение).</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Государственная экспертиза проектной документации и результатов инженерных изысканий в отношении жилых объектов капитального строительства, в том числе со </w:t>
      </w:r>
      <w:r w:rsidRPr="00400D3A">
        <w:rPr>
          <w:rFonts w:ascii="PT Astra Serif" w:hAnsi="PT Astra Serif"/>
          <w:sz w:val="26"/>
          <w:szCs w:val="26"/>
        </w:rPr>
        <w:t xml:space="preserve">встроенно-пристроенными нежилыми помещениями, не относящихся к уникальным объектам, проводится в течение не более 20 рабочих дней. </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Срок проведения повторной государственной экспертизы в части проверки достоверности определения сметной стоимости в связи с увеличением цен на строительные ресурсы, а также в случаях, установленных постановлением Правительства Росси</w:t>
      </w:r>
      <w:r w:rsidRPr="00400D3A" w:rsidR="00C92773">
        <w:rPr>
          <w:rFonts w:ascii="PT Astra Serif" w:hAnsi="PT Astra Serif"/>
          <w:sz w:val="26"/>
          <w:szCs w:val="26"/>
        </w:rPr>
        <w:t>йской Федерации от 04.04.2022 № </w:t>
      </w:r>
      <w:r w:rsidRPr="00400D3A">
        <w:rPr>
          <w:rFonts w:ascii="PT Astra Serif" w:hAnsi="PT Astra Serif"/>
          <w:sz w:val="26"/>
          <w:szCs w:val="26"/>
        </w:rPr>
        <w:t>579 «Об установлении особенностей внесения изменений в проектную документацию и (или) результаты инженерных изысканий, получившие положительное заключение государственной экспертизы, в том числе в связи с заменой строительных ресурсов на аналоги, особенностей и случаев проведения государственной экспертизы проектной документации», составляет 14 рабочих дней.</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Срок проведения государственной экспертизы может быть продлен по письменному обращению заявителя не более чем на 20 рабочих дней в соответствии с </w:t>
      </w:r>
      <w:hyperlink r:id="rId12" w:history="1">
        <w:r w:rsidRPr="00400D3A">
          <w:rPr>
            <w:rFonts w:ascii="PT Astra Serif" w:hAnsi="PT Astra Serif"/>
            <w:sz w:val="26"/>
            <w:szCs w:val="26"/>
          </w:rPr>
          <w:t>пунктом 29.1</w:t>
        </w:r>
      </w:hyperlink>
      <w:r w:rsidRPr="00400D3A">
        <w:rPr>
          <w:rFonts w:ascii="PT Astra Serif" w:hAnsi="PT Astra Serif"/>
          <w:sz w:val="26"/>
          <w:szCs w:val="26"/>
        </w:rPr>
        <w:t xml:space="preserve"> Положения.</w:t>
      </w:r>
    </w:p>
    <w:p w:rsidR="00002970"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отношении объектов капитального строительства, являющихся объектами федерального значения, объектами регионального значения, объектами местного значения, а также объектов капитального строительства, строительство или реконструкция которых планируется в рамках национальных проектов, федеральных проектов, не включенных в национальные проекты, государственных программ Российской Федерации, предусмотренного статьей 179.1 Бюджетного кодекса Российской Федерации реестра объектов капитального строительства, объектов недвижимого имущества, государственных программ субъектов Российской Федерации, муниципальных программ, срок проведения государственной экспертизы может быть продлен еще не более чем на 30 рабочих дней по решению Учреждения в соответствии с пунктом 29(1) Положения, в порядке, установленном пунктами 29(2) - 29(6) Положения.»;</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г) пункт 9 изложить в следующей редакции:</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«9. Для проведения государственной экспертизы одновременно проектной документации и результатов инженерных изысканий, выполненных для подготовки такой проектной документации, представляются: </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а) заявление о проведении государственной экспертизы, в котором указываются сведения, предусмотренные Положением;</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б) проектная документация на объект капитального строительства в соответствии с требованиями (в том числе к составу и содержанию разделов документации), установленными </w:t>
      </w:r>
      <w:hyperlink r:id="rId13" w:history="1">
        <w:r w:rsidRPr="00400D3A">
          <w:rPr>
            <w:rFonts w:ascii="PT Astra Serif" w:hAnsi="PT Astra Serif"/>
            <w:sz w:val="26"/>
            <w:szCs w:val="26"/>
          </w:rPr>
          <w:t>законодательством</w:t>
        </w:r>
      </w:hyperlink>
      <w:r w:rsidRPr="00400D3A">
        <w:rPr>
          <w:rFonts w:ascii="PT Astra Serif" w:hAnsi="PT Astra Serif"/>
          <w:sz w:val="26"/>
          <w:szCs w:val="26"/>
        </w:rPr>
        <w:t xml:space="preserve"> Российской Федерации. В случае представления в электронной форме документов для проведения повторной государственной экспертизы проектной документации, получившей положительное заключение государственной экспертизы, в организацию, проводившую первичную (предшествующую повторной) государственную экспертизу в отношении проектной документации, представлявшейся в электронной форме в полном объеме, может быть представлена часть проектной документации, в </w:t>
      </w:r>
      <w:r w:rsidRPr="00400D3A" w:rsidR="006A0393">
        <w:rPr>
          <w:rFonts w:ascii="PT Astra Serif" w:hAnsi="PT Astra Serif"/>
          <w:sz w:val="26"/>
          <w:szCs w:val="26"/>
        </w:rPr>
        <w:t>которую были внесены изменения;</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ведомости объемов рабо</w:t>
      </w:r>
      <w:r w:rsidRPr="00400D3A" w:rsidR="006A0393">
        <w:rPr>
          <w:rFonts w:ascii="PT Astra Serif" w:hAnsi="PT Astra Serif"/>
          <w:sz w:val="26"/>
          <w:szCs w:val="26"/>
        </w:rPr>
        <w:t>т, учтенных в сметных расчетах;</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г) задание на проектирование;</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д) результаты инженерных изысканий в соответствии с требованиями (в том числе к составу указанных результатов), установленными законода</w:t>
      </w:r>
      <w:r w:rsidRPr="00400D3A" w:rsidR="006A0393">
        <w:rPr>
          <w:rFonts w:ascii="PT Astra Serif" w:hAnsi="PT Astra Serif"/>
          <w:sz w:val="26"/>
          <w:szCs w:val="26"/>
        </w:rPr>
        <w:t>тельством Российской Федерации;</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е) задание на вы</w:t>
      </w:r>
      <w:r w:rsidRPr="00400D3A" w:rsidR="006A0393">
        <w:rPr>
          <w:rFonts w:ascii="PT Astra Serif" w:hAnsi="PT Astra Serif"/>
          <w:sz w:val="26"/>
          <w:szCs w:val="26"/>
        </w:rPr>
        <w:t>полнение инженерных изысканий;</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ж) положительное заключение государственной историко-культурной экспертизы в случае проведения государственной экспертизы проектной документации, подлежащей государственной историко-культурной экспертизе в соответствии с Федеральным </w:t>
      </w:r>
      <w:hyperlink r:id="rId14" w:history="1">
        <w:r w:rsidRPr="00400D3A">
          <w:rPr>
            <w:rFonts w:ascii="PT Astra Serif" w:hAnsi="PT Astra Serif"/>
            <w:sz w:val="26"/>
            <w:szCs w:val="26"/>
          </w:rPr>
          <w:t>законом</w:t>
        </w:r>
      </w:hyperlink>
      <w:r w:rsidRPr="00400D3A">
        <w:rPr>
          <w:rFonts w:ascii="PT Astra Serif" w:hAnsi="PT Astra Serif"/>
          <w:sz w:val="26"/>
          <w:szCs w:val="26"/>
        </w:rPr>
        <w:t xml:space="preserve"> </w:t>
      </w:r>
      <w:r w:rsidRPr="00400D3A">
        <w:rPr>
          <w:rFonts w:ascii="PT Astra Serif" w:hAnsi="PT Astra Serif"/>
          <w:sz w:val="26"/>
          <w:szCs w:val="26"/>
        </w:rPr>
        <w:t>«Об объектах культурного наследия (памятниках истории и культуры) народов Российской Федерации»;</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з) положительное сводное заключение о проведении публичного технологического аудита крупного инвестиционного проекта с государственным участием (в случае если проведение публичного технологического и ценового аудита является обязательным в соответствии с </w:t>
      </w:r>
      <w:hyperlink r:id="rId15" w:history="1">
        <w:r w:rsidRPr="00400D3A">
          <w:rPr>
            <w:rFonts w:ascii="PT Astra Serif" w:hAnsi="PT Astra Serif"/>
            <w:sz w:val="26"/>
            <w:szCs w:val="26"/>
          </w:rPr>
          <w:t>Положением</w:t>
        </w:r>
      </w:hyperlink>
      <w:r w:rsidRPr="00400D3A">
        <w:rPr>
          <w:rFonts w:ascii="PT Astra Serif" w:hAnsi="PT Astra Serif"/>
          <w:sz w:val="26"/>
          <w:szCs w:val="26"/>
        </w:rPr>
        <w:t xml:space="preserve"> о проведении публичного технологического и ценового аудита крупных инвестиционных проектов с государственным участием, утвержденным постановлением Правительства Российской Федерации от 30 апреля 2013 г. № 382 «О проведении публичного технологического и ценового аудита крупных инвестиционных проектов с государственным участием и о внесении изменений в некоторые акты Правительства Российской Федерации») или обоснование инвестиций, осуществляемых в инвестиционный проект по созданию объекта капитального строительства, в отношении которого планируется заключение контракта, предметом которого является одновременно выполнение работ по проектированию, строительству и вводу в эксплуатацию объекта капитального строительства, и заключение технологического и ценового аудита обоснования инвестиций, в случае если подготовка такого обоснования инвестиций и проведение его технологического и ценового аудита является обязательным в соответствии с нормативными правовыми актами Российской Федерации; </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и) документы, подтверждающие полномочия заявителя действовать от имени застройщика, технического заказчика, лица, обеспечившего выполнение инженерных изысканий и (или) подготовку проектной документации в случаях, предусмотренных </w:t>
      </w:r>
      <w:hyperlink r:id="rId8" w:history="1">
        <w:r w:rsidRPr="00400D3A">
          <w:rPr>
            <w:rFonts w:ascii="PT Astra Serif" w:hAnsi="PT Astra Serif"/>
            <w:sz w:val="26"/>
            <w:szCs w:val="26"/>
          </w:rPr>
          <w:t>частями 1.1</w:t>
        </w:r>
      </w:hyperlink>
      <w:r w:rsidRPr="00400D3A">
        <w:rPr>
          <w:rFonts w:ascii="PT Astra Serif" w:hAnsi="PT Astra Serif"/>
          <w:sz w:val="26"/>
          <w:szCs w:val="26"/>
        </w:rPr>
        <w:t xml:space="preserve"> и </w:t>
      </w:r>
      <w:hyperlink r:id="rId9" w:history="1">
        <w:r w:rsidRPr="00400D3A">
          <w:rPr>
            <w:rFonts w:ascii="PT Astra Serif" w:hAnsi="PT Astra Serif"/>
            <w:sz w:val="26"/>
            <w:szCs w:val="26"/>
          </w:rPr>
          <w:t>1.2 статьи 48</w:t>
        </w:r>
      </w:hyperlink>
      <w:r w:rsidRPr="00400D3A">
        <w:rPr>
          <w:rFonts w:ascii="PT Astra Serif" w:hAnsi="PT Astra Serif"/>
          <w:sz w:val="26"/>
          <w:szCs w:val="26"/>
        </w:rPr>
        <w:t xml:space="preserve"> Градостроительного кодекса Российской Федерации (если заявитель не является техническим заказчиком, застройщиком, лицом, обеспечившим выполнение инженерных изысканий и (или) подготовку проектной документации в случаях, предусмотренных </w:t>
      </w:r>
      <w:hyperlink r:id="rId8" w:history="1">
        <w:r w:rsidRPr="00400D3A">
          <w:rPr>
            <w:rFonts w:ascii="PT Astra Serif" w:hAnsi="PT Astra Serif"/>
            <w:sz w:val="26"/>
            <w:szCs w:val="26"/>
          </w:rPr>
          <w:t>частями 1.1</w:t>
        </w:r>
      </w:hyperlink>
      <w:r w:rsidRPr="00400D3A">
        <w:rPr>
          <w:rFonts w:ascii="PT Astra Serif" w:hAnsi="PT Astra Serif"/>
          <w:sz w:val="26"/>
          <w:szCs w:val="26"/>
        </w:rPr>
        <w:t xml:space="preserve"> и </w:t>
      </w:r>
      <w:hyperlink r:id="rId9" w:history="1">
        <w:r w:rsidRPr="00400D3A">
          <w:rPr>
            <w:rFonts w:ascii="PT Astra Serif" w:hAnsi="PT Astra Serif"/>
            <w:sz w:val="26"/>
            <w:szCs w:val="26"/>
          </w:rPr>
          <w:t>1.2 статьи 48</w:t>
        </w:r>
      </w:hyperlink>
      <w:r w:rsidRPr="00400D3A">
        <w:rPr>
          <w:rFonts w:ascii="PT Astra Serif" w:hAnsi="PT Astra Serif"/>
          <w:sz w:val="26"/>
          <w:szCs w:val="26"/>
        </w:rPr>
        <w:t xml:space="preserve"> Градостроительного кодекса Российской Федерации), в которых полномочия на заключение, изменение, исполнение, расторжение договора о проведении государственной экспертизы (далее - договор) или договора о проведении государственной экспертизы в рамках экспертного сопровождения (далее - договор об экспертном сопровождении) должны быть оговорены специально;</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к) документ, подтверждающий передачу проектной документации и (или) результатов инженерных изысканий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w:t>
      </w:r>
      <w:hyperlink r:id="rId8" w:history="1">
        <w:r w:rsidRPr="00400D3A">
          <w:rPr>
            <w:rFonts w:ascii="PT Astra Serif" w:hAnsi="PT Astra Serif"/>
            <w:sz w:val="26"/>
            <w:szCs w:val="26"/>
          </w:rPr>
          <w:t>частями 1.1</w:t>
        </w:r>
      </w:hyperlink>
      <w:r w:rsidRPr="00400D3A">
        <w:rPr>
          <w:rFonts w:ascii="PT Astra Serif" w:hAnsi="PT Astra Serif"/>
          <w:sz w:val="26"/>
          <w:szCs w:val="26"/>
        </w:rPr>
        <w:t xml:space="preserve"> и </w:t>
      </w:r>
      <w:hyperlink r:id="rId9" w:history="1">
        <w:r w:rsidRPr="00400D3A">
          <w:rPr>
            <w:rFonts w:ascii="PT Astra Serif" w:hAnsi="PT Astra Serif"/>
            <w:sz w:val="26"/>
            <w:szCs w:val="26"/>
          </w:rPr>
          <w:t>1.2 статьи 48</w:t>
        </w:r>
      </w:hyperlink>
      <w:r w:rsidRPr="00400D3A">
        <w:rPr>
          <w:rFonts w:ascii="PT Astra Serif" w:hAnsi="PT Astra Serif"/>
          <w:sz w:val="26"/>
          <w:szCs w:val="26"/>
        </w:rPr>
        <w:t xml:space="preserve"> Градостроительного кодекса Российской Федерации;</w:t>
      </w:r>
      <w:bookmarkStart w:id="2" w:name="Par49"/>
      <w:bookmarkEnd w:id="2"/>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л) в отношении объектов капитального строительства, строительство, реконструкция которых финансируется с привлечением средств государственных компаний и корпораций (без привлечения средств бюджетов бюджетной системы Российской Федерации), - решение руководителя государственной компании и корпорации об осуществлении капитальных вложений в объект капитального строительства;</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м) в случае отсутствия решения, указанного в подпункте «</w:t>
      </w:r>
      <w:hyperlink w:anchor="Par49" w:history="1">
        <w:r w:rsidRPr="00400D3A">
          <w:rPr>
            <w:rFonts w:ascii="PT Astra Serif" w:hAnsi="PT Astra Serif"/>
            <w:sz w:val="26"/>
            <w:szCs w:val="26"/>
          </w:rPr>
          <w:t>л</w:t>
        </w:r>
      </w:hyperlink>
      <w:r w:rsidRPr="00400D3A">
        <w:rPr>
          <w:rFonts w:ascii="PT Astra Serif" w:hAnsi="PT Astra Serif"/>
          <w:sz w:val="26"/>
          <w:szCs w:val="26"/>
        </w:rPr>
        <w:t xml:space="preserve">» настоящего пункта, и сведений о решениях (актах), указанных в </w:t>
      </w:r>
      <w:hyperlink w:anchor="Par17" w:history="1">
        <w:r w:rsidRPr="00400D3A">
          <w:rPr>
            <w:rFonts w:ascii="PT Astra Serif" w:hAnsi="PT Astra Serif"/>
            <w:sz w:val="26"/>
            <w:szCs w:val="26"/>
          </w:rPr>
          <w:t>абзацах одиннадцатом</w:t>
        </w:r>
      </w:hyperlink>
      <w:r w:rsidRPr="00400D3A">
        <w:rPr>
          <w:rFonts w:ascii="PT Astra Serif" w:hAnsi="PT Astra Serif"/>
          <w:sz w:val="26"/>
          <w:szCs w:val="26"/>
        </w:rPr>
        <w:t xml:space="preserve"> - </w:t>
      </w:r>
      <w:hyperlink w:anchor="Par25" w:history="1">
        <w:r w:rsidRPr="00400D3A">
          <w:rPr>
            <w:rFonts w:ascii="PT Astra Serif" w:hAnsi="PT Astra Serif"/>
            <w:sz w:val="26"/>
            <w:szCs w:val="26"/>
          </w:rPr>
          <w:t>пятнадцатом подпункта «а</w:t>
        </w:r>
      </w:hyperlink>
      <w:r w:rsidRPr="00400D3A">
        <w:rPr>
          <w:rFonts w:ascii="PT Astra Serif" w:hAnsi="PT Astra Serif"/>
          <w:sz w:val="26"/>
          <w:szCs w:val="26"/>
        </w:rPr>
        <w:t xml:space="preserve">» пункта 13 Положения, в том числе в связи с тем, что такие решения (акты) не подлежат официальному опубликованию, а также в случае, если сметная стоимость строительства, реконструкции объекта капитального строительства, указанная в проектной документации, превышает сметную или предполагаемую (предельную) стоимость строительства, реконструкции объекта капитального строительства, установленную в отношении объекта капитального строительства соответствующим решением (актом), - письмо руководителя (либо иного должностного лица, уполномоченного доверенностью) федерального органа </w:t>
      </w:r>
      <w:r w:rsidRPr="00400D3A">
        <w:rPr>
          <w:rFonts w:ascii="PT Astra Serif" w:hAnsi="PT Astra Serif"/>
          <w:sz w:val="26"/>
          <w:szCs w:val="26"/>
        </w:rPr>
        <w:t>исполнительной власти или организации, осуществляющих в соответствии с бюджетным законодательством Российской Федерации полномочия главного распорядителя средств федерального бюджета, руководителя (либо иного должностного лица, уполномоченного доверенностью) юридического лица, созданного Российской Федерацией, юридического лица, доля Российской Федерации в уставном (складочном) капитале которого составляет более 50 процентов (для объектов, финансирование строительства, реконструкции которых планируется осуществлять за счет средств, предоставляемых из федерального бюджета, средств указанных юридических лиц), либо высшего должностного лица субъекта Российской Федерации (заместителя высшего должностного лица субъекта Российской Федерации), либо председателя высшего исполнительного органа субъекта Российской Федерации (заместителя председателя высшего исполнительного органа субъекта Российской Федерации в соответствии с установленным высшим должностным лицом субъекта Российской Федерации распределением обязанностей), главы местной администрации (либо иного должностного лица, уполномоченного доверенностью), руководителя (либо иного должностного лица, уполномоченного доверенностью) юридического лица, созданного субъектом Российской Федерации, муниципальным образованием, руководителя (либо иного должностного лица, уполномоченного доверенностью) юридического лица, доля субъекта Российской Федерации, муниципального образования в уставном (складочном) капитале которого составляет более 50 процентов (для объектов, финансирование строительства, реконструкции которых планируется осуществлять за счет средств бюджетов субъектов Российской Федерации, местных бюджетов, в том числе объектов государственной собственности субъектов Российской Федерации, муниципальной собственности, в целях софинансирования которых из федерального бюджета предоставляются субсидии бюджетам субъектов Российской Федерации, а также за счет средств указанных юридических лиц), либо руководителя (либо иного должностного лица, уполномоченного доверенностью) государственной компании и корпорации (в случае строительства, реконструкции объектов капитального строительства за счет средств государственной компании и корпорации без привлечения средств бюджетов бюджетной системы Российской Федерации), подтверждающее указанную в заявлении сметную или предполагаемую (предельную) стоимость строительства, реконструкции объекта капитального строительства, содержащее информацию о предполагаемых источниках финансирования строительства, реконструкции объекта капитального строительства, предусмотренных законом (решением) о бюджете, либо внебюджетных источниках;</w:t>
      </w:r>
    </w:p>
    <w:p w:rsidR="00C60D7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н) решение (акт) руководителя (либо иного должностного лица, уполномоченного доверенностью) федерального органа исполнительной власти, руководителя Государственной корпорации по атомной энергии «Росатом» (либо иного должностного лица, уполномоченного доверенностью), руководителя Государственной корпорации по космической деятельности «Роскосмос» (либо иного должностного лица, уполномоченного доверенностью), руководителя Государственной компании «Российские автомобильные дороги» (либо иного должностного лица, уполномоченного доверенностью), председателя высшего исполнительного органа субъекта Российской Федерации (заместителя председателя высшего исполнительного органа субъекта Российской Федерации в соответствии с установленным высшим должностным лицом субъекта Российской Федерации распределением обязанностей) - главного распорядителя средств соответствующего бюджета об осуществлении строительства, реконструкции объекта капитального строительства по этапам, предусматривающее распределение сметной стоимости строительства, реконструкции объекта капитального строительства и </w:t>
      </w:r>
      <w:r w:rsidRPr="00400D3A">
        <w:rPr>
          <w:rFonts w:ascii="PT Astra Serif" w:hAnsi="PT Astra Serif"/>
          <w:sz w:val="26"/>
          <w:szCs w:val="26"/>
        </w:rPr>
        <w:t>его мощности по этапам строительства и подтверждающее, что общая сметная стоимость строительства, реконструкции объекта по всем этапам не превысит установленную предполагаемую (предельную) стоимость строительства объекта при сохранении общей мощности объекта капитального строительства, либо в случае подготовки проектной документации в отношении отдельного этапа строительства, реконструкции объекта капитального строительства, строительство, реконструкция которого осуществляется за счет средств государственных компаний и корпораций, - указанное решение (акт) руководителя (либо иного должностного лица, уполномоченного доверенностью) государственной компании и корпорации</w:t>
      </w:r>
      <w:r w:rsidRPr="00400D3A" w:rsidR="00D854CF">
        <w:rPr>
          <w:rFonts w:ascii="PT Astra Serif" w:hAnsi="PT Astra Serif"/>
          <w:sz w:val="26"/>
          <w:szCs w:val="26"/>
        </w:rPr>
        <w:t>;</w:t>
      </w:r>
    </w:p>
    <w:p w:rsidR="00D854C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д) дополнить пунктом 9-1 следующего содержания:</w:t>
      </w:r>
    </w:p>
    <w:p w:rsidR="00C0681C"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w:t>
      </w:r>
      <w:r w:rsidRPr="00400D3A" w:rsidR="00D27845">
        <w:rPr>
          <w:rFonts w:ascii="PT Astra Serif" w:hAnsi="PT Astra Serif"/>
          <w:sz w:val="26"/>
          <w:szCs w:val="26"/>
        </w:rPr>
        <w:t>9-</w:t>
      </w:r>
      <w:r w:rsidRPr="00400D3A">
        <w:rPr>
          <w:rFonts w:ascii="PT Astra Serif" w:hAnsi="PT Astra Serif"/>
          <w:sz w:val="26"/>
          <w:szCs w:val="26"/>
        </w:rPr>
        <w:t>1</w:t>
      </w:r>
      <w:r w:rsidRPr="00400D3A" w:rsidR="00D8305C">
        <w:rPr>
          <w:rFonts w:ascii="PT Astra Serif" w:hAnsi="PT Astra Serif"/>
          <w:sz w:val="26"/>
          <w:szCs w:val="26"/>
        </w:rPr>
        <w:t>. </w:t>
      </w:r>
      <w:r w:rsidRPr="00400D3A">
        <w:rPr>
          <w:rFonts w:ascii="PT Astra Serif" w:hAnsi="PT Astra Serif"/>
          <w:sz w:val="26"/>
          <w:szCs w:val="26"/>
        </w:rPr>
        <w:t xml:space="preserve">Для проведения государственной экспертизы одновременно проектной документации в части оценки, предусмотренной </w:t>
      </w:r>
      <w:r w:rsidRPr="00400D3A" w:rsidR="00D27845">
        <w:rPr>
          <w:rFonts w:ascii="PT Astra Serif" w:hAnsi="PT Astra Serif"/>
          <w:sz w:val="26"/>
          <w:szCs w:val="26"/>
        </w:rPr>
        <w:t>подпунктом «а»</w:t>
      </w:r>
      <w:r w:rsidRPr="00400D3A">
        <w:rPr>
          <w:rFonts w:ascii="PT Astra Serif" w:hAnsi="PT Astra Serif"/>
          <w:sz w:val="26"/>
          <w:szCs w:val="26"/>
        </w:rPr>
        <w:t xml:space="preserve"> пункта 27 Положения, и результатов инженерных изысканий, выполненных для подготовки такой проектной документации, представляются документы, предусмотренные подпунктом </w:t>
      </w:r>
      <w:r w:rsidRPr="00400D3A" w:rsidR="00D27845">
        <w:rPr>
          <w:rFonts w:ascii="PT Astra Serif" w:hAnsi="PT Astra Serif"/>
          <w:sz w:val="26"/>
          <w:szCs w:val="26"/>
        </w:rPr>
        <w:t>«а»</w:t>
      </w:r>
      <w:r w:rsidRPr="00400D3A">
        <w:rPr>
          <w:rFonts w:ascii="PT Astra Serif" w:hAnsi="PT Astra Serif"/>
          <w:sz w:val="26"/>
          <w:szCs w:val="26"/>
        </w:rPr>
        <w:t xml:space="preserve"> (кроме сведений, указанных в абзацах шестом и седьмом), </w:t>
      </w:r>
      <w:r w:rsidRPr="00400D3A" w:rsidR="00D27845">
        <w:rPr>
          <w:rFonts w:ascii="PT Astra Serif" w:hAnsi="PT Astra Serif"/>
          <w:sz w:val="26"/>
          <w:szCs w:val="26"/>
        </w:rPr>
        <w:t>«г»</w:t>
      </w:r>
      <w:r w:rsidRPr="00400D3A">
        <w:rPr>
          <w:rFonts w:ascii="PT Astra Serif" w:hAnsi="PT Astra Serif"/>
          <w:sz w:val="26"/>
          <w:szCs w:val="26"/>
        </w:rPr>
        <w:t xml:space="preserve"> и </w:t>
      </w:r>
      <w:r w:rsidRPr="00400D3A" w:rsidR="00D27845">
        <w:rPr>
          <w:rFonts w:ascii="PT Astra Serif" w:hAnsi="PT Astra Serif"/>
          <w:sz w:val="26"/>
          <w:szCs w:val="26"/>
        </w:rPr>
        <w:t>«</w:t>
      </w:r>
      <w:r w:rsidRPr="00400D3A">
        <w:rPr>
          <w:rFonts w:ascii="PT Astra Serif" w:hAnsi="PT Astra Serif"/>
          <w:sz w:val="26"/>
          <w:szCs w:val="26"/>
        </w:rPr>
        <w:t>д</w:t>
      </w:r>
      <w:r w:rsidRPr="00400D3A" w:rsidR="00D27845">
        <w:rPr>
          <w:rFonts w:ascii="PT Astra Serif" w:hAnsi="PT Astra Serif"/>
          <w:sz w:val="26"/>
          <w:szCs w:val="26"/>
        </w:rPr>
        <w:t>»</w:t>
      </w:r>
      <w:r w:rsidRPr="00400D3A">
        <w:rPr>
          <w:rFonts w:ascii="PT Astra Serif" w:hAnsi="PT Astra Serif"/>
          <w:sz w:val="26"/>
          <w:szCs w:val="26"/>
        </w:rPr>
        <w:t xml:space="preserve"> - </w:t>
      </w:r>
      <w:r w:rsidRPr="00400D3A" w:rsidR="00D27845">
        <w:rPr>
          <w:rFonts w:ascii="PT Astra Serif" w:hAnsi="PT Astra Serif"/>
          <w:sz w:val="26"/>
          <w:szCs w:val="26"/>
        </w:rPr>
        <w:t>«</w:t>
      </w:r>
      <w:r w:rsidRPr="00400D3A">
        <w:rPr>
          <w:rFonts w:ascii="PT Astra Serif" w:hAnsi="PT Astra Serif"/>
          <w:sz w:val="26"/>
          <w:szCs w:val="26"/>
        </w:rPr>
        <w:t>к(2)</w:t>
      </w:r>
      <w:r w:rsidRPr="00400D3A" w:rsidR="00D27845">
        <w:rPr>
          <w:rFonts w:ascii="PT Astra Serif" w:hAnsi="PT Astra Serif"/>
          <w:sz w:val="26"/>
          <w:szCs w:val="26"/>
        </w:rPr>
        <w:t>»</w:t>
      </w:r>
      <w:r w:rsidRPr="00400D3A">
        <w:rPr>
          <w:rFonts w:ascii="PT Astra Serif" w:hAnsi="PT Astra Serif"/>
          <w:sz w:val="26"/>
          <w:szCs w:val="26"/>
        </w:rPr>
        <w:t xml:space="preserve"> пункта 13 Положения. Для проведения государственной экспертизы проектной документации, подготовленной с использованием типовой проектной документации, также представляются документы, указанные в подпунктах </w:t>
      </w:r>
      <w:r w:rsidRPr="00400D3A" w:rsidR="00D27845">
        <w:rPr>
          <w:rFonts w:ascii="PT Astra Serif" w:hAnsi="PT Astra Serif"/>
          <w:sz w:val="26"/>
          <w:szCs w:val="26"/>
        </w:rPr>
        <w:t>«</w:t>
      </w:r>
      <w:r w:rsidRPr="00400D3A">
        <w:rPr>
          <w:rFonts w:ascii="PT Astra Serif" w:hAnsi="PT Astra Serif"/>
          <w:sz w:val="26"/>
          <w:szCs w:val="26"/>
        </w:rPr>
        <w:t>б</w:t>
      </w:r>
      <w:r w:rsidRPr="00400D3A" w:rsidR="00D27845">
        <w:rPr>
          <w:rFonts w:ascii="PT Astra Serif" w:hAnsi="PT Astra Serif"/>
          <w:sz w:val="26"/>
          <w:szCs w:val="26"/>
        </w:rPr>
        <w:t>»</w:t>
      </w:r>
      <w:r w:rsidRPr="00400D3A">
        <w:rPr>
          <w:rFonts w:ascii="PT Astra Serif" w:hAnsi="PT Astra Serif"/>
          <w:sz w:val="26"/>
          <w:szCs w:val="26"/>
        </w:rPr>
        <w:t xml:space="preserve"> и </w:t>
      </w:r>
      <w:r w:rsidRPr="00400D3A" w:rsidR="00D27845">
        <w:rPr>
          <w:rFonts w:ascii="PT Astra Serif" w:hAnsi="PT Astra Serif"/>
          <w:sz w:val="26"/>
          <w:szCs w:val="26"/>
        </w:rPr>
        <w:t>«</w:t>
      </w:r>
      <w:r w:rsidRPr="00400D3A">
        <w:rPr>
          <w:rFonts w:ascii="PT Astra Serif" w:hAnsi="PT Astra Serif"/>
          <w:sz w:val="26"/>
          <w:szCs w:val="26"/>
        </w:rPr>
        <w:t>г</w:t>
      </w:r>
      <w:r w:rsidRPr="00400D3A" w:rsidR="00D27845">
        <w:rPr>
          <w:rFonts w:ascii="PT Astra Serif" w:hAnsi="PT Astra Serif"/>
          <w:sz w:val="26"/>
          <w:szCs w:val="26"/>
        </w:rPr>
        <w:t>»</w:t>
      </w:r>
      <w:r w:rsidRPr="00400D3A">
        <w:rPr>
          <w:rFonts w:ascii="PT Astra Serif" w:hAnsi="PT Astra Serif"/>
          <w:sz w:val="26"/>
          <w:szCs w:val="26"/>
        </w:rPr>
        <w:t xml:space="preserve"> пункта 15 Положения.</w:t>
      </w:r>
      <w:r w:rsidRPr="00400D3A">
        <w:rPr>
          <w:rFonts w:ascii="PT Astra Serif" w:hAnsi="PT Astra Serif"/>
          <w:sz w:val="26"/>
          <w:szCs w:val="26"/>
        </w:rPr>
        <w:t>»;</w:t>
      </w:r>
    </w:p>
    <w:p w:rsidR="00D854C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е) пункты 10 – 12 изложить в следующей редакции:</w:t>
      </w:r>
    </w:p>
    <w:p w:rsidR="00B4057E"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w:t>
      </w:r>
      <w:r w:rsidRPr="00400D3A">
        <w:rPr>
          <w:rFonts w:ascii="PT Astra Serif" w:hAnsi="PT Astra Serif"/>
          <w:sz w:val="26"/>
          <w:szCs w:val="26"/>
        </w:rPr>
        <w:t xml:space="preserve">10. Для проведения государственной экспертизы результатов инженерных изысканий до направления проектной документации на государственную экспертизу представляются документы, указанные в </w:t>
      </w:r>
      <w:hyperlink r:id="rId16" w:history="1">
        <w:r w:rsidRPr="00400D3A">
          <w:rPr>
            <w:rFonts w:ascii="PT Astra Serif" w:hAnsi="PT Astra Serif"/>
            <w:sz w:val="26"/>
            <w:szCs w:val="26"/>
          </w:rPr>
          <w:t>подпунктах «а</w:t>
        </w:r>
      </w:hyperlink>
      <w:r w:rsidRPr="00400D3A">
        <w:rPr>
          <w:rFonts w:ascii="PT Astra Serif" w:hAnsi="PT Astra Serif"/>
          <w:sz w:val="26"/>
          <w:szCs w:val="26"/>
        </w:rPr>
        <w:t>», «</w:t>
      </w:r>
      <w:hyperlink r:id="rId17" w:history="1">
        <w:r w:rsidRPr="00400D3A">
          <w:rPr>
            <w:rFonts w:ascii="PT Astra Serif" w:hAnsi="PT Astra Serif"/>
            <w:sz w:val="26"/>
            <w:szCs w:val="26"/>
          </w:rPr>
          <w:t>д</w:t>
        </w:r>
      </w:hyperlink>
      <w:r w:rsidRPr="00400D3A">
        <w:rPr>
          <w:rFonts w:ascii="PT Astra Serif" w:hAnsi="PT Astra Serif"/>
          <w:sz w:val="26"/>
          <w:szCs w:val="26"/>
        </w:rPr>
        <w:t>», «</w:t>
      </w:r>
      <w:hyperlink r:id="rId18" w:history="1">
        <w:r w:rsidRPr="00400D3A">
          <w:rPr>
            <w:rFonts w:ascii="PT Astra Serif" w:hAnsi="PT Astra Serif"/>
            <w:sz w:val="26"/>
            <w:szCs w:val="26"/>
          </w:rPr>
          <w:t>е</w:t>
        </w:r>
      </w:hyperlink>
      <w:r w:rsidRPr="00400D3A">
        <w:rPr>
          <w:rFonts w:ascii="PT Astra Serif" w:hAnsi="PT Astra Serif"/>
          <w:sz w:val="26"/>
          <w:szCs w:val="26"/>
        </w:rPr>
        <w:t>», «</w:t>
      </w:r>
      <w:hyperlink r:id="rId19" w:history="1">
        <w:r w:rsidRPr="00400D3A">
          <w:rPr>
            <w:rFonts w:ascii="PT Astra Serif" w:hAnsi="PT Astra Serif"/>
            <w:sz w:val="26"/>
            <w:szCs w:val="26"/>
          </w:rPr>
          <w:t>и</w:t>
        </w:r>
      </w:hyperlink>
      <w:r w:rsidRPr="00400D3A">
        <w:rPr>
          <w:rFonts w:ascii="PT Astra Serif" w:hAnsi="PT Astra Serif"/>
          <w:sz w:val="26"/>
          <w:szCs w:val="26"/>
        </w:rPr>
        <w:t>» и «к» пункта 9</w:t>
      </w:r>
      <w:r w:rsidRPr="00400D3A" w:rsidR="00D27845">
        <w:rPr>
          <w:rFonts w:ascii="PT Astra Serif" w:hAnsi="PT Astra Serif"/>
          <w:sz w:val="26"/>
          <w:szCs w:val="26"/>
        </w:rPr>
        <w:t xml:space="preserve"> настоящего регламента.</w:t>
      </w:r>
    </w:p>
    <w:p w:rsidR="00B6683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1</w:t>
      </w:r>
      <w:r w:rsidRPr="00400D3A">
        <w:rPr>
          <w:rFonts w:ascii="PT Astra Serif" w:hAnsi="PT Astra Serif"/>
          <w:sz w:val="26"/>
          <w:szCs w:val="26"/>
        </w:rPr>
        <w:t xml:space="preserve">1. Для проведения государственной экспертизы одновременно проектной документации, подготовленной с использованием типовой проектной документации, и результатов инженерных изысканий, выполненных для подготовки такой проектной документации, представляются документы, указанные в </w:t>
      </w:r>
      <w:hyperlink r:id="rId20" w:history="1">
        <w:r w:rsidRPr="00400D3A">
          <w:rPr>
            <w:rFonts w:ascii="PT Astra Serif" w:hAnsi="PT Astra Serif"/>
            <w:sz w:val="26"/>
            <w:szCs w:val="26"/>
          </w:rPr>
          <w:t xml:space="preserve">пункте </w:t>
        </w:r>
      </w:hyperlink>
      <w:r w:rsidRPr="00400D3A">
        <w:rPr>
          <w:rFonts w:ascii="PT Astra Serif" w:hAnsi="PT Astra Serif"/>
          <w:sz w:val="26"/>
          <w:szCs w:val="26"/>
        </w:rPr>
        <w:t xml:space="preserve">9 </w:t>
      </w:r>
      <w:r w:rsidRPr="00400D3A" w:rsidR="00011C91">
        <w:rPr>
          <w:rFonts w:ascii="PT Astra Serif" w:hAnsi="PT Astra Serif"/>
          <w:sz w:val="26"/>
          <w:szCs w:val="26"/>
        </w:rPr>
        <w:t>настоящего регламента, а также:</w:t>
      </w:r>
    </w:p>
    <w:p w:rsidR="00B6683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а) положительное заключение экспертизы в отношении применяемой типовой проектной документации и справка с указанием разделов представленной на государственную экспертизу проектной документации, которые не подвергались изменению и полностью соответствуют </w:t>
      </w:r>
      <w:r w:rsidRPr="00400D3A" w:rsidR="00011C91">
        <w:rPr>
          <w:rFonts w:ascii="PT Astra Serif" w:hAnsi="PT Astra Serif"/>
          <w:sz w:val="26"/>
          <w:szCs w:val="26"/>
        </w:rPr>
        <w:t>типовой проектной документации;</w:t>
      </w:r>
    </w:p>
    <w:p w:rsidR="00B6683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б) </w:t>
      </w:r>
      <w:hyperlink r:id="rId21" w:history="1">
        <w:r w:rsidRPr="00400D3A">
          <w:rPr>
            <w:rFonts w:ascii="PT Astra Serif" w:hAnsi="PT Astra Serif"/>
            <w:sz w:val="26"/>
            <w:szCs w:val="26"/>
          </w:rPr>
          <w:t>документ</w:t>
        </w:r>
      </w:hyperlink>
      <w:r w:rsidRPr="00400D3A">
        <w:rPr>
          <w:rFonts w:ascii="PT Astra Serif" w:hAnsi="PT Astra Serif"/>
          <w:sz w:val="26"/>
          <w:szCs w:val="26"/>
        </w:rPr>
        <w:t>, подтверждающий аналогичность назначения и проектной мощности проектируемого объекта капитального строительства и соответствие природных и иных условий территории, на которой планируется осуществлять строительство такого объекта капитального строительства, назначению, проектной мощности объекта капитального строительства и условиям территории, с учетом которых типовая проектная документация, которая использована для проектирования, подготавливалась дл</w:t>
      </w:r>
      <w:r w:rsidRPr="00400D3A" w:rsidR="00D27845">
        <w:rPr>
          <w:rFonts w:ascii="PT Astra Serif" w:hAnsi="PT Astra Serif"/>
          <w:sz w:val="26"/>
          <w:szCs w:val="26"/>
        </w:rPr>
        <w:t>я первоначального применения.</w:t>
      </w:r>
    </w:p>
    <w:p w:rsidR="00B6683F"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12. Для проведения государственной экспертизы проектной документации после проведения государственной экспертизы результатов инженерных изысканий, выполненных для подготовки такой проектной документации, представляются документы, указанные в </w:t>
      </w:r>
      <w:hyperlink r:id="rId20" w:history="1">
        <w:r w:rsidRPr="00400D3A">
          <w:rPr>
            <w:rFonts w:ascii="PT Astra Serif" w:hAnsi="PT Astra Serif"/>
            <w:sz w:val="26"/>
            <w:szCs w:val="26"/>
          </w:rPr>
          <w:t xml:space="preserve">пункте </w:t>
        </w:r>
      </w:hyperlink>
      <w:r w:rsidRPr="00400D3A">
        <w:rPr>
          <w:rFonts w:ascii="PT Astra Serif" w:hAnsi="PT Astra Serif"/>
          <w:sz w:val="26"/>
          <w:szCs w:val="26"/>
        </w:rPr>
        <w:t>9 настоящего регламента (за исключением задания на выполнение инженерных изысканий), и положительное заключение государственной экспертизы результатов инженерных изысканий, при этом результаты инженерных изысканий повторно не представляются. В случае подготовки проектной документации с использованием типовой проектной документации также представляются документы, указанные в пункте 11 настоящего регламента.»;</w:t>
      </w:r>
    </w:p>
    <w:p w:rsidR="009B2C37" w:rsidRPr="00400D3A" w:rsidP="00983EB6">
      <w:pPr>
        <w:autoSpaceDE w:val="0"/>
        <w:autoSpaceDN w:val="0"/>
        <w:adjustRightInd w:val="0"/>
        <w:ind w:firstLine="709"/>
        <w:jc w:val="both"/>
        <w:rPr>
          <w:rFonts w:ascii="PT Astra Serif" w:hAnsi="PT Astra Serif"/>
          <w:sz w:val="26"/>
          <w:szCs w:val="26"/>
        </w:rPr>
      </w:pPr>
      <w:r>
        <w:rPr>
          <w:rFonts w:ascii="PT Astra Serif" w:hAnsi="PT Astra Serif"/>
          <w:sz w:val="26"/>
          <w:szCs w:val="26"/>
        </w:rPr>
        <w:t>ж</w:t>
      </w:r>
      <w:r w:rsidRPr="00400D3A" w:rsidR="00D27845">
        <w:rPr>
          <w:rFonts w:ascii="PT Astra Serif" w:hAnsi="PT Astra Serif"/>
          <w:sz w:val="26"/>
          <w:szCs w:val="26"/>
        </w:rPr>
        <w:t>) дополнить пунктами 12.1 – 12-4</w:t>
      </w:r>
      <w:r w:rsidRPr="00400D3A">
        <w:rPr>
          <w:rFonts w:ascii="PT Astra Serif" w:hAnsi="PT Astra Serif"/>
          <w:sz w:val="26"/>
          <w:szCs w:val="26"/>
        </w:rPr>
        <w:t xml:space="preserve"> следующего содержания:</w:t>
      </w:r>
    </w:p>
    <w:p w:rsidR="008451D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«12.1. Для проведения государственной экспертизы проектной документации в части, предусмотренной </w:t>
      </w:r>
      <w:hyperlink r:id="rId22" w:history="1">
        <w:r w:rsidRPr="00400D3A">
          <w:rPr>
            <w:rFonts w:ascii="PT Astra Serif" w:hAnsi="PT Astra Serif"/>
            <w:sz w:val="26"/>
            <w:szCs w:val="26"/>
          </w:rPr>
          <w:t>подпунктом «а» пункта 27</w:t>
        </w:r>
      </w:hyperlink>
      <w:r w:rsidRPr="00400D3A">
        <w:rPr>
          <w:rFonts w:ascii="PT Astra Serif" w:hAnsi="PT Astra Serif"/>
          <w:sz w:val="26"/>
          <w:szCs w:val="26"/>
        </w:rPr>
        <w:t xml:space="preserve"> Положения, после проведения государственной экспертизы результатов инженерных изысканий, выполненных для подготовки такой проектной документации, представляются документы, указанные в </w:t>
      </w:r>
      <w:hyperlink r:id="rId23" w:history="1">
        <w:r w:rsidRPr="00400D3A">
          <w:rPr>
            <w:rFonts w:ascii="PT Astra Serif" w:hAnsi="PT Astra Serif"/>
            <w:sz w:val="26"/>
            <w:szCs w:val="26"/>
          </w:rPr>
          <w:t>подпунктах «а</w:t>
        </w:r>
      </w:hyperlink>
      <w:r w:rsidRPr="00400D3A" w:rsidR="00D27845">
        <w:rPr>
          <w:rFonts w:ascii="PT Astra Serif" w:hAnsi="PT Astra Serif"/>
          <w:sz w:val="26"/>
          <w:szCs w:val="26"/>
        </w:rPr>
        <w:t>»</w:t>
      </w:r>
      <w:r w:rsidRPr="00400D3A">
        <w:rPr>
          <w:rFonts w:ascii="PT Astra Serif" w:hAnsi="PT Astra Serif"/>
          <w:sz w:val="26"/>
          <w:szCs w:val="26"/>
        </w:rPr>
        <w:t xml:space="preserve">, </w:t>
      </w:r>
      <w:hyperlink r:id="rId24" w:history="1">
        <w:r w:rsidRPr="00400D3A">
          <w:rPr>
            <w:rFonts w:ascii="PT Astra Serif" w:hAnsi="PT Astra Serif"/>
            <w:sz w:val="26"/>
            <w:szCs w:val="26"/>
          </w:rPr>
          <w:t>«г</w:t>
        </w:r>
      </w:hyperlink>
      <w:r w:rsidRPr="00400D3A">
        <w:rPr>
          <w:rFonts w:ascii="PT Astra Serif" w:hAnsi="PT Astra Serif"/>
          <w:sz w:val="26"/>
          <w:szCs w:val="26"/>
        </w:rPr>
        <w:t>»,</w:t>
      </w:r>
      <w:r w:rsidRPr="00400D3A" w:rsidR="00D27845">
        <w:rPr>
          <w:rFonts w:ascii="PT Astra Serif" w:hAnsi="PT Astra Serif"/>
          <w:sz w:val="26"/>
          <w:szCs w:val="26"/>
        </w:rPr>
        <w:t xml:space="preserve"> «д»</w:t>
      </w:r>
      <w:r w:rsidRPr="00400D3A">
        <w:rPr>
          <w:rFonts w:ascii="PT Astra Serif" w:hAnsi="PT Astra Serif"/>
          <w:sz w:val="26"/>
          <w:szCs w:val="26"/>
        </w:rPr>
        <w:t xml:space="preserve"> </w:t>
      </w:r>
      <w:hyperlink r:id="rId25" w:history="1">
        <w:r w:rsidRPr="00400D3A">
          <w:rPr>
            <w:rFonts w:ascii="PT Astra Serif" w:hAnsi="PT Astra Serif"/>
            <w:sz w:val="26"/>
            <w:szCs w:val="26"/>
          </w:rPr>
          <w:t>«ж</w:t>
        </w:r>
      </w:hyperlink>
      <w:r w:rsidRPr="00400D3A" w:rsidR="00D27845">
        <w:rPr>
          <w:rFonts w:ascii="PT Astra Serif" w:hAnsi="PT Astra Serif"/>
          <w:sz w:val="26"/>
          <w:szCs w:val="26"/>
        </w:rPr>
        <w:t>(1)</w:t>
      </w:r>
      <w:r w:rsidRPr="00400D3A">
        <w:rPr>
          <w:rFonts w:ascii="PT Astra Serif" w:hAnsi="PT Astra Serif"/>
          <w:sz w:val="26"/>
          <w:szCs w:val="26"/>
        </w:rPr>
        <w:t>» - «к</w:t>
      </w:r>
      <w:r w:rsidRPr="00400D3A" w:rsidR="00D27845">
        <w:rPr>
          <w:rFonts w:ascii="PT Astra Serif" w:hAnsi="PT Astra Serif"/>
          <w:sz w:val="26"/>
          <w:szCs w:val="26"/>
        </w:rPr>
        <w:t>(2)</w:t>
      </w:r>
      <w:r w:rsidRPr="00400D3A">
        <w:rPr>
          <w:rFonts w:ascii="PT Astra Serif" w:hAnsi="PT Astra Serif"/>
          <w:sz w:val="26"/>
          <w:szCs w:val="26"/>
        </w:rPr>
        <w:t xml:space="preserve">» пункта 13 Положения, и положительное заключение государственной экспертизы результатов инженерных изысканий, при этом результаты инженерных изысканий повторно не представляются. Для проведения государственной экспертизы проектной документации, подготовленной с использованием типовой проектной документации, также представляются документы, указанные в </w:t>
      </w:r>
      <w:hyperlink r:id="rId26" w:history="1">
        <w:r w:rsidRPr="00400D3A">
          <w:rPr>
            <w:rFonts w:ascii="PT Astra Serif" w:hAnsi="PT Astra Serif"/>
            <w:sz w:val="26"/>
            <w:szCs w:val="26"/>
          </w:rPr>
          <w:t>пункте 15</w:t>
        </w:r>
      </w:hyperlink>
      <w:r w:rsidRPr="00400D3A">
        <w:rPr>
          <w:rFonts w:ascii="PT Astra Serif" w:hAnsi="PT Astra Serif"/>
          <w:sz w:val="26"/>
          <w:szCs w:val="26"/>
        </w:rPr>
        <w:t xml:space="preserve"> Положения</w:t>
      </w:r>
      <w:r w:rsidRPr="00400D3A" w:rsidR="00D27845">
        <w:rPr>
          <w:rFonts w:ascii="PT Astra Serif" w:hAnsi="PT Astra Serif"/>
          <w:sz w:val="26"/>
          <w:szCs w:val="26"/>
        </w:rPr>
        <w:t>.</w:t>
      </w:r>
    </w:p>
    <w:p w:rsidR="004238B5"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12.2. Для проведения государственной экспертизы проектной документации в части проверки достоверности определения сметной стоимости строительства, реконструкции объектов капитального строительства представляются документы, указанные в </w:t>
      </w:r>
      <w:hyperlink r:id="rId23" w:history="1">
        <w:r w:rsidRPr="00400D3A">
          <w:rPr>
            <w:rFonts w:ascii="PT Astra Serif" w:hAnsi="PT Astra Serif"/>
            <w:sz w:val="26"/>
            <w:szCs w:val="26"/>
          </w:rPr>
          <w:t>подпунктах «а</w:t>
        </w:r>
      </w:hyperlink>
      <w:r w:rsidRPr="00400D3A">
        <w:rPr>
          <w:rFonts w:ascii="PT Astra Serif" w:hAnsi="PT Astra Serif"/>
          <w:sz w:val="26"/>
          <w:szCs w:val="26"/>
        </w:rPr>
        <w:t xml:space="preserve">», </w:t>
      </w:r>
      <w:hyperlink r:id="rId24" w:history="1">
        <w:r w:rsidRPr="00400D3A">
          <w:rPr>
            <w:rFonts w:ascii="PT Astra Serif" w:hAnsi="PT Astra Serif"/>
            <w:sz w:val="26"/>
            <w:szCs w:val="26"/>
          </w:rPr>
          <w:t>«г</w:t>
        </w:r>
      </w:hyperlink>
      <w:r w:rsidRPr="00400D3A">
        <w:rPr>
          <w:rFonts w:ascii="PT Astra Serif" w:hAnsi="PT Astra Serif"/>
          <w:sz w:val="26"/>
          <w:szCs w:val="26"/>
        </w:rPr>
        <w:t>»,</w:t>
      </w:r>
      <w:r w:rsidRPr="00400D3A">
        <w:rPr>
          <w:rFonts w:ascii="PT Astra Serif" w:hAnsi="PT Astra Serif"/>
          <w:sz w:val="26"/>
          <w:szCs w:val="26"/>
        </w:rPr>
        <w:t xml:space="preserve"> «г(1)»</w:t>
      </w:r>
      <w:r w:rsidRPr="00400D3A">
        <w:rPr>
          <w:rFonts w:ascii="PT Astra Serif" w:hAnsi="PT Astra Serif"/>
          <w:sz w:val="26"/>
          <w:szCs w:val="26"/>
        </w:rPr>
        <w:t xml:space="preserve"> </w:t>
      </w:r>
      <w:r w:rsidRPr="00400D3A">
        <w:rPr>
          <w:rFonts w:ascii="PT Astra Serif" w:hAnsi="PT Astra Serif"/>
          <w:sz w:val="26"/>
          <w:szCs w:val="26"/>
        </w:rPr>
        <w:t>«д», «ж(1)», «и», «к(2)», л(4), л(7) и «н» пункта 13 Положения.</w:t>
      </w:r>
    </w:p>
    <w:p w:rsidR="004238B5" w:rsidRPr="00400D3A" w:rsidP="00983EB6">
      <w:pPr>
        <w:pStyle w:val="NormalWeb"/>
        <w:spacing w:before="0" w:beforeAutospacing="0" w:after="0" w:afterAutospacing="0" w:line="288" w:lineRule="atLeast"/>
        <w:ind w:firstLine="709"/>
        <w:jc w:val="both"/>
        <w:rPr>
          <w:rFonts w:ascii="PT Astra Serif" w:hAnsi="PT Astra Serif"/>
          <w:sz w:val="26"/>
          <w:szCs w:val="26"/>
        </w:rPr>
      </w:pPr>
      <w:r w:rsidRPr="00400D3A">
        <w:rPr>
          <w:rFonts w:ascii="PT Astra Serif" w:hAnsi="PT Astra Serif"/>
          <w:sz w:val="26"/>
          <w:szCs w:val="26"/>
        </w:rPr>
        <w:t xml:space="preserve">12.3. Для проведения государственной экспертизы проектной документации в части проверки достоверности определения сметной стоимости сноса объекта капитального строительства (в случае, если снос не связан со строительством или реконструкцией объекта капитального строительства) представляются документы, указанные в </w:t>
      </w:r>
      <w:r w:rsidRPr="00400D3A">
        <w:rPr>
          <w:rFonts w:ascii="PT Astra Serif" w:hAnsi="PT Astra Serif"/>
          <w:sz w:val="26"/>
          <w:szCs w:val="26"/>
        </w:rPr>
        <w:t>подпунктах «а», «г(1)», «ж(1)», «и2 пункта 13 Положения, а также:</w:t>
      </w:r>
    </w:p>
    <w:p w:rsidR="006E414E" w:rsidRPr="00400D3A" w:rsidP="00983EB6">
      <w:pPr>
        <w:pStyle w:val="NormalWeb"/>
        <w:spacing w:before="0" w:beforeAutospacing="0" w:after="0" w:afterAutospacing="0" w:line="288" w:lineRule="atLeast"/>
        <w:ind w:firstLine="709"/>
        <w:jc w:val="both"/>
        <w:rPr>
          <w:rFonts w:ascii="PT Astra Serif" w:hAnsi="PT Astra Serif"/>
          <w:sz w:val="26"/>
          <w:szCs w:val="26"/>
        </w:rPr>
      </w:pPr>
      <w:r w:rsidRPr="00400D3A">
        <w:rPr>
          <w:rFonts w:ascii="PT Astra Serif" w:hAnsi="PT Astra Serif"/>
          <w:sz w:val="26"/>
          <w:szCs w:val="26"/>
        </w:rPr>
        <w:t xml:space="preserve">а) проект организации работ по сносу объекта капитального строительства; </w:t>
      </w:r>
    </w:p>
    <w:p w:rsidR="006E414E"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б) смета на снос объекта капитального строительства;</w:t>
      </w:r>
    </w:p>
    <w:p w:rsidR="006E414E"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результаты и материалы обследования объекта капитального строительства в соответствии с требованиями технических регламентов, санитарно-эпидемиологическими требованиями, требованиями в области охраны окружающей среды, требованиями безопасности деятельности в области использования атомной энергии, требованиями к осуществлению деятельности в области промышленной безопасности;</w:t>
      </w:r>
    </w:p>
    <w:p w:rsidR="006E414E"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г) документ, подтверждающий передачу проекта организации работ по сносу объекта капитального строительства застройщику, техническому заказчику или лицу, обеспечившему выполнение инженерных изысканий и (или) подготовку проектной документации в случаях, предусмотренных </w:t>
      </w:r>
      <w:hyperlink r:id="rId8" w:history="1">
        <w:r w:rsidRPr="00400D3A">
          <w:rPr>
            <w:rFonts w:ascii="PT Astra Serif" w:hAnsi="PT Astra Serif"/>
            <w:sz w:val="26"/>
            <w:szCs w:val="26"/>
          </w:rPr>
          <w:t>частями 1.1</w:t>
        </w:r>
      </w:hyperlink>
      <w:r w:rsidRPr="00400D3A">
        <w:rPr>
          <w:rFonts w:ascii="PT Astra Serif" w:hAnsi="PT Astra Serif"/>
          <w:sz w:val="26"/>
          <w:szCs w:val="26"/>
        </w:rPr>
        <w:t xml:space="preserve"> и </w:t>
      </w:r>
      <w:hyperlink r:id="rId9" w:history="1">
        <w:r w:rsidRPr="00400D3A">
          <w:rPr>
            <w:rFonts w:ascii="PT Astra Serif" w:hAnsi="PT Astra Serif"/>
            <w:sz w:val="26"/>
            <w:szCs w:val="26"/>
          </w:rPr>
          <w:t>1.2 статьи 48</w:t>
        </w:r>
      </w:hyperlink>
      <w:r w:rsidRPr="00400D3A">
        <w:rPr>
          <w:rFonts w:ascii="PT Astra Serif" w:hAnsi="PT Astra Serif"/>
          <w:sz w:val="26"/>
          <w:szCs w:val="26"/>
        </w:rPr>
        <w:t xml:space="preserve"> Градостроительного кодекса Российской Федерации.</w:t>
      </w:r>
    </w:p>
    <w:p w:rsidR="00C35532"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12.4.</w:t>
      </w:r>
      <w:r w:rsidRPr="00400D3A" w:rsidR="00761BAF">
        <w:rPr>
          <w:rFonts w:ascii="PT Astra Serif" w:hAnsi="PT Astra Serif"/>
          <w:sz w:val="26"/>
          <w:szCs w:val="26"/>
        </w:rPr>
        <w:t> </w:t>
      </w:r>
      <w:r w:rsidRPr="00400D3A">
        <w:rPr>
          <w:rFonts w:ascii="PT Astra Serif" w:hAnsi="PT Astra Serif"/>
          <w:sz w:val="26"/>
          <w:szCs w:val="26"/>
        </w:rPr>
        <w:t xml:space="preserve">Для проведения государственной экспертизы проектной документации в части проверки достоверности определения сметной стоимости капитального ремонта объектов капитального строительства (в случае, если такие работы не связаны со строительством или реконструкцией объекта капитального строительства) представляются документы, указанные в </w:t>
      </w:r>
      <w:hyperlink r:id="rId23" w:history="1">
        <w:r w:rsidRPr="00400D3A">
          <w:rPr>
            <w:rFonts w:ascii="PT Astra Serif" w:hAnsi="PT Astra Serif"/>
            <w:sz w:val="26"/>
            <w:szCs w:val="26"/>
          </w:rPr>
          <w:t>подпунктах «а</w:t>
        </w:r>
      </w:hyperlink>
      <w:r w:rsidRPr="00400D3A">
        <w:rPr>
          <w:rFonts w:ascii="PT Astra Serif" w:hAnsi="PT Astra Serif"/>
          <w:sz w:val="26"/>
          <w:szCs w:val="26"/>
        </w:rPr>
        <w:t xml:space="preserve">» - </w:t>
      </w:r>
      <w:hyperlink r:id="rId27" w:history="1">
        <w:r w:rsidRPr="00400D3A">
          <w:rPr>
            <w:rFonts w:ascii="PT Astra Serif" w:hAnsi="PT Astra Serif"/>
            <w:sz w:val="26"/>
            <w:szCs w:val="26"/>
          </w:rPr>
          <w:t>«в</w:t>
        </w:r>
      </w:hyperlink>
      <w:r w:rsidRPr="00400D3A">
        <w:rPr>
          <w:rFonts w:ascii="PT Astra Serif" w:hAnsi="PT Astra Serif"/>
          <w:sz w:val="26"/>
          <w:szCs w:val="26"/>
        </w:rPr>
        <w:t xml:space="preserve">», </w:t>
      </w:r>
      <w:hyperlink r:id="rId25" w:history="1">
        <w:r w:rsidRPr="00400D3A">
          <w:rPr>
            <w:rFonts w:ascii="PT Astra Serif" w:hAnsi="PT Astra Serif"/>
            <w:sz w:val="26"/>
            <w:szCs w:val="26"/>
          </w:rPr>
          <w:t>«ж</w:t>
        </w:r>
      </w:hyperlink>
      <w:r w:rsidRPr="00400D3A">
        <w:rPr>
          <w:rFonts w:ascii="PT Astra Serif" w:hAnsi="PT Astra Serif"/>
          <w:sz w:val="26"/>
          <w:szCs w:val="26"/>
        </w:rPr>
        <w:t xml:space="preserve">», </w:t>
      </w:r>
      <w:hyperlink r:id="rId19" w:history="1">
        <w:r w:rsidRPr="00400D3A">
          <w:rPr>
            <w:rFonts w:ascii="PT Astra Serif" w:hAnsi="PT Astra Serif"/>
            <w:sz w:val="26"/>
            <w:szCs w:val="26"/>
          </w:rPr>
          <w:t>«и</w:t>
        </w:r>
      </w:hyperlink>
      <w:r w:rsidRPr="00400D3A">
        <w:rPr>
          <w:rFonts w:ascii="PT Astra Serif" w:hAnsi="PT Astra Serif"/>
          <w:sz w:val="26"/>
          <w:szCs w:val="26"/>
        </w:rPr>
        <w:t xml:space="preserve">», </w:t>
      </w:r>
      <w:hyperlink r:id="rId28" w:history="1">
        <w:r w:rsidRPr="00400D3A">
          <w:rPr>
            <w:rFonts w:ascii="PT Astra Serif" w:hAnsi="PT Astra Serif"/>
            <w:sz w:val="26"/>
            <w:szCs w:val="26"/>
          </w:rPr>
          <w:t>«к</w:t>
        </w:r>
      </w:hyperlink>
      <w:r w:rsidRPr="00400D3A">
        <w:rPr>
          <w:rFonts w:ascii="PT Astra Serif" w:hAnsi="PT Astra Serif"/>
          <w:sz w:val="26"/>
          <w:szCs w:val="26"/>
        </w:rPr>
        <w:t xml:space="preserve">» и </w:t>
      </w:r>
      <w:hyperlink r:id="rId29" w:history="1">
        <w:r w:rsidRPr="00400D3A">
          <w:rPr>
            <w:rFonts w:ascii="PT Astra Serif" w:hAnsi="PT Astra Serif"/>
            <w:sz w:val="26"/>
            <w:szCs w:val="26"/>
          </w:rPr>
          <w:t xml:space="preserve">«н» пункта 9 настоящего регламента, </w:t>
        </w:r>
      </w:hyperlink>
      <w:r w:rsidRPr="00400D3A">
        <w:rPr>
          <w:rFonts w:ascii="PT Astra Serif" w:hAnsi="PT Astra Serif"/>
          <w:sz w:val="26"/>
          <w:szCs w:val="26"/>
        </w:rPr>
        <w:t>а также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p>
    <w:p w:rsidR="00621D1D" w:rsidRPr="00400D3A" w:rsidP="00983EB6">
      <w:pPr>
        <w:autoSpaceDE w:val="0"/>
        <w:autoSpaceDN w:val="0"/>
        <w:adjustRightInd w:val="0"/>
        <w:ind w:firstLine="709"/>
        <w:jc w:val="both"/>
        <w:rPr>
          <w:rFonts w:ascii="PT Astra Serif" w:hAnsi="PT Astra Serif"/>
          <w:sz w:val="26"/>
          <w:szCs w:val="26"/>
        </w:rPr>
      </w:pPr>
      <w:r>
        <w:rPr>
          <w:rFonts w:ascii="PT Astra Serif" w:hAnsi="PT Astra Serif"/>
          <w:sz w:val="26"/>
          <w:szCs w:val="26"/>
        </w:rPr>
        <w:t>з</w:t>
      </w:r>
      <w:r w:rsidRPr="00400D3A">
        <w:rPr>
          <w:rFonts w:ascii="PT Astra Serif" w:hAnsi="PT Astra Serif"/>
          <w:sz w:val="26"/>
          <w:szCs w:val="26"/>
        </w:rPr>
        <w:t>) пункт 13 изложить в следующей редакции:</w:t>
      </w:r>
    </w:p>
    <w:p w:rsidR="00621D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«13. Учреждение вправе дополнительно истребовать от заявителя представления расчетов конструктивных и технологических решений, используемых в проектной документации, материалов инженерных изысканий, а также сведений, указанных в </w:t>
      </w:r>
      <w:hyperlink r:id="rId30" w:history="1">
        <w:r w:rsidRPr="00400D3A">
          <w:rPr>
            <w:rFonts w:ascii="PT Astra Serif" w:hAnsi="PT Astra Serif"/>
            <w:sz w:val="26"/>
            <w:szCs w:val="26"/>
          </w:rPr>
          <w:t>абзацах одиннадцатом</w:t>
        </w:r>
      </w:hyperlink>
      <w:r w:rsidRPr="00400D3A">
        <w:rPr>
          <w:rFonts w:ascii="PT Astra Serif" w:hAnsi="PT Astra Serif"/>
          <w:sz w:val="26"/>
          <w:szCs w:val="26"/>
        </w:rPr>
        <w:t xml:space="preserve"> - </w:t>
      </w:r>
      <w:hyperlink r:id="rId31" w:history="1">
        <w:r w:rsidRPr="00400D3A">
          <w:rPr>
            <w:rFonts w:ascii="PT Astra Serif" w:hAnsi="PT Astra Serif"/>
            <w:sz w:val="26"/>
            <w:szCs w:val="26"/>
          </w:rPr>
          <w:t>пятнадцатом подпункта «а» пункта 13</w:t>
        </w:r>
      </w:hyperlink>
      <w:r w:rsidRPr="00400D3A">
        <w:rPr>
          <w:rFonts w:ascii="PT Astra Serif" w:hAnsi="PT Astra Serif"/>
          <w:sz w:val="26"/>
          <w:szCs w:val="26"/>
        </w:rPr>
        <w:t xml:space="preserve"> Положения. Указанные расчеты, </w:t>
      </w:r>
      <w:r w:rsidRPr="00400D3A">
        <w:rPr>
          <w:rFonts w:ascii="PT Astra Serif" w:hAnsi="PT Astra Serif"/>
          <w:sz w:val="26"/>
          <w:szCs w:val="26"/>
        </w:rPr>
        <w:t>материалы и сведения должны представляться заявителем не позднее 3 рабочих дней со дня получения соответствующего запроса.</w:t>
      </w:r>
    </w:p>
    <w:p w:rsidR="00621D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Для проведения государственной экспертизы проектной документации в части проверки достоверности определения сметной стоимости строительства, реконструкции, капитального ремонта, сноса объекта капитального строительства, работ по сохранению объектов культурного наследия (памятников истории и культуры) народов Российской Федерации организация по проведению государственной экспертизы также вправе направить заявителю мотивированный запрос о необходимости представления дополнительных расчетных обоснований включенных в сметную стоимость затрат, для расчета которых не установлены сметные нормы, либо конструктивных, технологических и других решений, предусмотренных проектной документацией, а также материалов инженерных изысканий, подтверждающих необходимость выполнения работ, расходы на которые включены в сметную стоимость. Указанные обоснования и материалы представляются заявителем не позднее 3 рабочих дней со дня получения соответствующего запроса.</w:t>
      </w:r>
    </w:p>
    <w:p w:rsidR="00621D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В случае если ранее документы представлялись на государственную экспертизу на бумажном носителе при проведении повторной государственной экспертизы проектной документации, получившей положительное заключение государственной экспертизы, в том числе заключение государственной экспертизы, проводимой в случае, предусмотренном </w:t>
      </w:r>
      <w:hyperlink r:id="rId32" w:history="1">
        <w:r w:rsidRPr="00400D3A">
          <w:rPr>
            <w:rFonts w:ascii="PT Astra Serif" w:hAnsi="PT Astra Serif"/>
            <w:sz w:val="26"/>
            <w:szCs w:val="26"/>
          </w:rPr>
          <w:t>частью 3.10 статьи 49</w:t>
        </w:r>
      </w:hyperlink>
      <w:r w:rsidRPr="00400D3A">
        <w:rPr>
          <w:rFonts w:ascii="PT Astra Serif" w:hAnsi="PT Astra Serif"/>
          <w:sz w:val="26"/>
          <w:szCs w:val="26"/>
        </w:rPr>
        <w:t xml:space="preserve"> Градостроительного кодекса Российской Федерации, организация по проведению государственной экспертизы в целях оценки совместимости внесенных изменений с проектной документацией, в отношении которой была ранее проведена государственная экспертиза, вправе дополнительно истребовать от заявителя представление материалов проектной документации, в которые изменения не вносились. Указанные материалы проектной документации представляются заявителем не позднее 3 рабочих дней со дня получения соответствующего запроса в порядке, установленном договором или договором об экспертном сопровождении.</w:t>
      </w:r>
    </w:p>
    <w:p w:rsidR="00621D1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Не допускается истребование от заявителей иных сведений и документов.»;</w:t>
      </w:r>
    </w:p>
    <w:p w:rsidR="0091265D" w:rsidRPr="00400D3A" w:rsidP="00983EB6">
      <w:pPr>
        <w:autoSpaceDE w:val="0"/>
        <w:autoSpaceDN w:val="0"/>
        <w:adjustRightInd w:val="0"/>
        <w:ind w:firstLine="709"/>
        <w:jc w:val="both"/>
        <w:rPr>
          <w:rFonts w:ascii="PT Astra Serif" w:hAnsi="PT Astra Serif"/>
          <w:sz w:val="26"/>
          <w:szCs w:val="26"/>
        </w:rPr>
      </w:pPr>
      <w:r>
        <w:rPr>
          <w:rFonts w:ascii="PT Astra Serif" w:hAnsi="PT Astra Serif"/>
          <w:sz w:val="26"/>
          <w:szCs w:val="26"/>
        </w:rPr>
        <w:t>и</w:t>
      </w:r>
      <w:r w:rsidRPr="00400D3A">
        <w:rPr>
          <w:rFonts w:ascii="PT Astra Serif" w:hAnsi="PT Astra Serif"/>
          <w:sz w:val="26"/>
          <w:szCs w:val="26"/>
        </w:rPr>
        <w:t>) пункт 15 изложить в следующей редакции:</w:t>
      </w:r>
    </w:p>
    <w:p w:rsidR="0091265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«15. В случае обоснованной возможности строительства, реконструкции объекта по этапам строительства проектная документация на объект капитального строительства представляется применительно к отдельным этапам строительства, реконструкции объекта капитального строительства.</w:t>
      </w:r>
    </w:p>
    <w:p w:rsidR="0091265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представления проектной документации, предполагающей строительство, реконструкцию объекта капитального строительства по этапам строительства, в виде одного комплекта в отношении такой документации заключается один договор на проведение государственной экспертизы и подготавливается одно заключение государственной экспертизы, в котором отражается информация об этапах строительства.</w:t>
      </w:r>
    </w:p>
    <w:p w:rsidR="0091265D"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представления проектной документации, предполагающей строительство, реконструкцию объекта капитального строительства по этапам строительства, в виде отдельных комплектов на каждый из этапов строительства в отношении такой документации заключаются договоры на проведение государственной экспертизы и подготавливаются заключения государственной экспертизы на каждый из этапов строительства.»;</w:t>
      </w:r>
    </w:p>
    <w:p w:rsidR="000558A9" w:rsidRPr="00400D3A" w:rsidP="00983EB6">
      <w:pPr>
        <w:autoSpaceDE w:val="0"/>
        <w:autoSpaceDN w:val="0"/>
        <w:adjustRightInd w:val="0"/>
        <w:ind w:firstLine="709"/>
        <w:jc w:val="both"/>
        <w:rPr>
          <w:rFonts w:ascii="PT Astra Serif" w:hAnsi="PT Astra Serif"/>
          <w:sz w:val="26"/>
          <w:szCs w:val="26"/>
        </w:rPr>
      </w:pPr>
      <w:r>
        <w:rPr>
          <w:rFonts w:ascii="PT Astra Serif" w:hAnsi="PT Astra Serif"/>
          <w:sz w:val="26"/>
          <w:szCs w:val="26"/>
        </w:rPr>
        <w:t>к</w:t>
      </w:r>
      <w:r w:rsidRPr="00400D3A">
        <w:rPr>
          <w:rFonts w:ascii="PT Astra Serif" w:hAnsi="PT Astra Serif"/>
          <w:sz w:val="26"/>
          <w:szCs w:val="26"/>
        </w:rPr>
        <w:t xml:space="preserve">) пункт 22 </w:t>
      </w:r>
      <w:r w:rsidRPr="00400D3A" w:rsidR="00415E7E">
        <w:rPr>
          <w:rFonts w:ascii="PT Astra Serif" w:hAnsi="PT Astra Serif"/>
          <w:sz w:val="26"/>
          <w:szCs w:val="26"/>
        </w:rPr>
        <w:t>признать утратившим силу;</w:t>
      </w:r>
    </w:p>
    <w:p w:rsidR="000558A9" w:rsidRPr="00400D3A" w:rsidP="00983EB6">
      <w:pPr>
        <w:autoSpaceDE w:val="0"/>
        <w:autoSpaceDN w:val="0"/>
        <w:adjustRightInd w:val="0"/>
        <w:ind w:firstLine="709"/>
        <w:jc w:val="both"/>
        <w:rPr>
          <w:rFonts w:ascii="PT Astra Serif" w:hAnsi="PT Astra Serif"/>
          <w:sz w:val="26"/>
          <w:szCs w:val="26"/>
        </w:rPr>
      </w:pPr>
      <w:r>
        <w:rPr>
          <w:rFonts w:ascii="PT Astra Serif" w:hAnsi="PT Astra Serif"/>
          <w:sz w:val="26"/>
          <w:szCs w:val="26"/>
        </w:rPr>
        <w:t>л</w:t>
      </w:r>
      <w:r w:rsidRPr="00400D3A">
        <w:rPr>
          <w:rFonts w:ascii="PT Astra Serif" w:hAnsi="PT Astra Serif"/>
          <w:sz w:val="26"/>
          <w:szCs w:val="26"/>
        </w:rPr>
        <w:t>)</w:t>
      </w:r>
      <w:r w:rsidRPr="00400D3A" w:rsidR="005C401E">
        <w:rPr>
          <w:rFonts w:ascii="PT Astra Serif" w:hAnsi="PT Astra Serif"/>
          <w:sz w:val="26"/>
          <w:szCs w:val="26"/>
        </w:rPr>
        <w:t> </w:t>
      </w:r>
      <w:r w:rsidRPr="00400D3A">
        <w:rPr>
          <w:rFonts w:ascii="PT Astra Serif" w:hAnsi="PT Astra Serif"/>
          <w:sz w:val="26"/>
          <w:szCs w:val="26"/>
        </w:rPr>
        <w:t>пункт</w:t>
      </w:r>
      <w:r w:rsidRPr="00400D3A" w:rsidR="00415E7E">
        <w:rPr>
          <w:rFonts w:ascii="PT Astra Serif" w:hAnsi="PT Astra Serif"/>
          <w:sz w:val="26"/>
          <w:szCs w:val="26"/>
        </w:rPr>
        <w:t xml:space="preserve">ы </w:t>
      </w:r>
      <w:r w:rsidRPr="00400D3A">
        <w:rPr>
          <w:rFonts w:ascii="PT Astra Serif" w:hAnsi="PT Astra Serif"/>
          <w:sz w:val="26"/>
          <w:szCs w:val="26"/>
        </w:rPr>
        <w:t>28</w:t>
      </w:r>
      <w:r w:rsidRPr="00400D3A" w:rsidR="00415E7E">
        <w:rPr>
          <w:rFonts w:ascii="PT Astra Serif" w:hAnsi="PT Astra Serif"/>
          <w:sz w:val="26"/>
          <w:szCs w:val="26"/>
        </w:rPr>
        <w:t xml:space="preserve"> - 30</w:t>
      </w:r>
      <w:r w:rsidRPr="00400D3A">
        <w:rPr>
          <w:rFonts w:ascii="PT Astra Serif" w:hAnsi="PT Astra Serif"/>
          <w:sz w:val="26"/>
          <w:szCs w:val="26"/>
        </w:rPr>
        <w:t xml:space="preserve"> изложить в следующей редакции:</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«28. </w:t>
      </w:r>
      <w:r w:rsidRPr="00400D3A">
        <w:rPr>
          <w:rFonts w:ascii="PT Astra Serif" w:hAnsi="PT Astra Serif"/>
          <w:sz w:val="26"/>
          <w:szCs w:val="26"/>
        </w:rPr>
        <w:t>Основанием для начала административной процедуры является:</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а)</w:t>
      </w:r>
      <w:r w:rsidRPr="00400D3A" w:rsidR="0069709B">
        <w:rPr>
          <w:rFonts w:ascii="PT Astra Serif" w:hAnsi="PT Astra Serif"/>
          <w:sz w:val="26"/>
          <w:szCs w:val="26"/>
        </w:rPr>
        <w:t> </w:t>
      </w:r>
      <w:r w:rsidRPr="00400D3A">
        <w:rPr>
          <w:rFonts w:ascii="PT Astra Serif" w:hAnsi="PT Astra Serif"/>
          <w:sz w:val="26"/>
          <w:szCs w:val="26"/>
        </w:rPr>
        <w:t>п</w:t>
      </w:r>
      <w:r w:rsidRPr="00400D3A">
        <w:rPr>
          <w:rFonts w:ascii="PT Astra Serif" w:hAnsi="PT Astra Serif"/>
          <w:sz w:val="26"/>
          <w:szCs w:val="26"/>
        </w:rPr>
        <w:t>ри проведении государственной экспертизы проектной документации и результатов инженерных изысканий в отношении объектов капитального строительства, финансирование строительства, реконструкции или капитального ремонта которых осуществляется с привлечением средств бюджетов бюджетной системы Российской Федерации, средств государственных компаний и корпораций -  заключение договора;</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б)</w:t>
      </w:r>
      <w:r w:rsidRPr="00400D3A" w:rsidR="0069709B">
        <w:rPr>
          <w:rFonts w:ascii="PT Astra Serif" w:hAnsi="PT Astra Serif"/>
          <w:sz w:val="26"/>
          <w:szCs w:val="26"/>
        </w:rPr>
        <w:t> </w:t>
      </w:r>
      <w:r w:rsidRPr="00400D3A">
        <w:rPr>
          <w:rFonts w:ascii="PT Astra Serif" w:hAnsi="PT Astra Serif"/>
          <w:sz w:val="26"/>
          <w:szCs w:val="26"/>
        </w:rPr>
        <w:t>в</w:t>
      </w:r>
      <w:r w:rsidRPr="00400D3A">
        <w:rPr>
          <w:rFonts w:ascii="PT Astra Serif" w:hAnsi="PT Astra Serif"/>
          <w:sz w:val="26"/>
          <w:szCs w:val="26"/>
        </w:rPr>
        <w:t xml:space="preserve"> отношении иных объектов капитального строительства проведение государственной экспертизы проектной документации и результатов инженерных изысканий - после представления заявителем документов, подтверждающих внесение платы за проведение государственной экспертизы в соответствии с договором.</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Не позднее дня, следующего за днем заключения договора в соответствии с подпунктом «а» настоящего пункта и внесения платы в соответствии с подпунктом «б» настоящего пункта:</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специалист, ответственный за подготовку проекта договора, сообщает об этом руководителю Учреждения, а также вносит сведения о предоплате, о сроках проведения экспертизы в информационну</w:t>
      </w:r>
      <w:r w:rsidRPr="00400D3A" w:rsidR="00C92773">
        <w:rPr>
          <w:rFonts w:ascii="PT Astra Serif" w:hAnsi="PT Astra Serif"/>
          <w:sz w:val="26"/>
          <w:szCs w:val="26"/>
        </w:rPr>
        <w:t>ю программу Учреждения ИС ОГАУ «</w:t>
      </w:r>
      <w:r w:rsidRPr="00400D3A">
        <w:rPr>
          <w:rFonts w:ascii="PT Astra Serif" w:hAnsi="PT Astra Serif"/>
          <w:sz w:val="26"/>
          <w:szCs w:val="26"/>
        </w:rPr>
        <w:t>Томскгосэкспертиза</w:t>
      </w:r>
      <w:r w:rsidRPr="00400D3A" w:rsidR="00C92773">
        <w:rPr>
          <w:rFonts w:ascii="PT Astra Serif" w:hAnsi="PT Astra Serif"/>
          <w:sz w:val="26"/>
          <w:szCs w:val="26"/>
        </w:rPr>
        <w:t>»</w:t>
      </w:r>
      <w:r w:rsidRPr="00400D3A">
        <w:rPr>
          <w:rFonts w:ascii="PT Astra Serif" w:hAnsi="PT Astra Serif"/>
          <w:sz w:val="26"/>
          <w:szCs w:val="26"/>
        </w:rPr>
        <w:t>;</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руководитель Учреждения назначает специалиста-координатора, ответственного за проведение государственной экспертизы.</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Специалист-координатор анализирует поступившую документацию и составляет проект заключения, создает рабочую группу экспертов, которым передает проектную документацию на рассмотрение. В рабочую группу включаются эксперты, аттестованные по соответствующим направлениям деятельности, указанным в квалификационных аттестатах. В период проведения экспертизы специалист-координатор осуществляет контроль за соблюдением сроков проведения государственной экспертизы, сроками подготовки и выдачи перечня недостатков, сроками подготовки локальных заключений, организует взаимодействие между экспертами по конкретному объекту.</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Эксперты:</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проводят государственную экспертизу отдельных разделов (подразделов разделов) проектной документации и (или) результатах инженерных изысканий и составляют локальные заключения;</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выявляют в проектной документации и (или) результатах инженерных изысканий недостатки (отсутствие (неполнота) сведений, описаний, расчетов, чертежей, схем), которые не позволяют сделать выводы, указанные в </w:t>
      </w:r>
      <w:hyperlink r:id="rId33" w:history="1">
        <w:r w:rsidRPr="00400D3A">
          <w:rPr>
            <w:rFonts w:ascii="PT Astra Serif" w:hAnsi="PT Astra Serif"/>
            <w:sz w:val="26"/>
            <w:szCs w:val="26"/>
          </w:rPr>
          <w:t>пункте 34</w:t>
        </w:r>
      </w:hyperlink>
      <w:r w:rsidRPr="00400D3A">
        <w:rPr>
          <w:rFonts w:ascii="PT Astra Serif" w:hAnsi="PT Astra Serif"/>
          <w:sz w:val="26"/>
          <w:szCs w:val="26"/>
        </w:rPr>
        <w:t xml:space="preserve"> Положения, размещают их перечни в информационно</w:t>
      </w:r>
      <w:r w:rsidRPr="00400D3A" w:rsidR="003C5628">
        <w:rPr>
          <w:rFonts w:ascii="PT Astra Serif" w:hAnsi="PT Astra Serif"/>
          <w:sz w:val="26"/>
          <w:szCs w:val="26"/>
        </w:rPr>
        <w:t>й программе Учреждения ИС ОГАУ «</w:t>
      </w:r>
      <w:r w:rsidRPr="00400D3A">
        <w:rPr>
          <w:rFonts w:ascii="PT Astra Serif" w:hAnsi="PT Astra Serif"/>
          <w:sz w:val="26"/>
          <w:szCs w:val="26"/>
        </w:rPr>
        <w:t>Томскгосэкспертиза</w:t>
      </w:r>
      <w:r w:rsidRPr="00400D3A" w:rsidR="003C5628">
        <w:rPr>
          <w:rFonts w:ascii="PT Astra Serif" w:hAnsi="PT Astra Serif"/>
          <w:sz w:val="26"/>
          <w:szCs w:val="26"/>
        </w:rPr>
        <w:t>»</w:t>
      </w:r>
      <w:r w:rsidRPr="00400D3A">
        <w:rPr>
          <w:rFonts w:ascii="PT Astra Serif" w:hAnsi="PT Astra Serif"/>
          <w:sz w:val="26"/>
          <w:szCs w:val="26"/>
        </w:rPr>
        <w:t xml:space="preserve"> для отображения в </w:t>
      </w:r>
      <w:r w:rsidRPr="00400D3A" w:rsidR="003C5628">
        <w:rPr>
          <w:rFonts w:ascii="PT Astra Serif" w:hAnsi="PT Astra Serif"/>
          <w:sz w:val="26"/>
          <w:szCs w:val="26"/>
        </w:rPr>
        <w:t>«</w:t>
      </w:r>
      <w:r w:rsidRPr="00400D3A">
        <w:rPr>
          <w:rFonts w:ascii="PT Astra Serif" w:hAnsi="PT Astra Serif"/>
          <w:sz w:val="26"/>
          <w:szCs w:val="26"/>
        </w:rPr>
        <w:t>Личном кабинете заказчика</w:t>
      </w:r>
      <w:r w:rsidRPr="00400D3A" w:rsidR="003C5628">
        <w:rPr>
          <w:rFonts w:ascii="PT Astra Serif" w:hAnsi="PT Astra Serif"/>
          <w:sz w:val="26"/>
          <w:szCs w:val="26"/>
        </w:rPr>
        <w:t>»</w:t>
      </w:r>
      <w:r w:rsidRPr="00400D3A">
        <w:rPr>
          <w:rFonts w:ascii="PT Astra Serif" w:hAnsi="PT Astra Serif"/>
          <w:sz w:val="26"/>
          <w:szCs w:val="26"/>
        </w:rPr>
        <w:t>;</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выявления обстоятельств, которые являются основанием для оставления документов без рассмотрения, уведомляют о них специалиста-координатора;</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определяют достаточность сведений для определения выводов и делают однозначный вывод о соответствии или несоответствии проектной документации и (или) результатов инженерных изысканий требованиям технических регламентов и требованиям к содержанию разделов проектной документации, предусмотренных в соответствии с </w:t>
      </w:r>
      <w:hyperlink r:id="rId34" w:history="1">
        <w:r w:rsidRPr="00400D3A">
          <w:rPr>
            <w:rFonts w:ascii="PT Astra Serif" w:hAnsi="PT Astra Serif"/>
            <w:sz w:val="26"/>
            <w:szCs w:val="26"/>
          </w:rPr>
          <w:t>частью 13 статьи 48</w:t>
        </w:r>
      </w:hyperlink>
      <w:r w:rsidRPr="00400D3A">
        <w:rPr>
          <w:rFonts w:ascii="PT Astra Serif" w:hAnsi="PT Astra Serif"/>
          <w:sz w:val="26"/>
          <w:szCs w:val="26"/>
        </w:rPr>
        <w:t xml:space="preserve"> Градостроительного кодекса Российской Федерации;</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выводов о несоответствии размещают перечень недостатков в электронной форме в информационно</w:t>
      </w:r>
      <w:r w:rsidRPr="00400D3A" w:rsidR="003C5628">
        <w:rPr>
          <w:rFonts w:ascii="PT Astra Serif" w:hAnsi="PT Astra Serif"/>
          <w:sz w:val="26"/>
          <w:szCs w:val="26"/>
        </w:rPr>
        <w:t>й программе Учреждения ИС ОГАУ «Томскгосэкспертиза»</w:t>
      </w:r>
      <w:r w:rsidRPr="00400D3A">
        <w:rPr>
          <w:rFonts w:ascii="PT Astra Serif" w:hAnsi="PT Astra Serif"/>
          <w:sz w:val="26"/>
          <w:szCs w:val="26"/>
        </w:rPr>
        <w:t xml:space="preserve"> и </w:t>
      </w:r>
      <w:r w:rsidRPr="00400D3A" w:rsidR="003C5628">
        <w:rPr>
          <w:rFonts w:ascii="PT Astra Serif" w:hAnsi="PT Astra Serif"/>
          <w:sz w:val="26"/>
          <w:szCs w:val="26"/>
        </w:rPr>
        <w:t>«</w:t>
      </w:r>
      <w:r w:rsidRPr="00400D3A">
        <w:rPr>
          <w:rFonts w:ascii="PT Astra Serif" w:hAnsi="PT Astra Serif"/>
          <w:sz w:val="26"/>
          <w:szCs w:val="26"/>
        </w:rPr>
        <w:t>Личном кабинете заказчика</w:t>
      </w:r>
      <w:r w:rsidRPr="00400D3A" w:rsidR="003C5628">
        <w:rPr>
          <w:rFonts w:ascii="PT Astra Serif" w:hAnsi="PT Astra Serif"/>
          <w:sz w:val="26"/>
          <w:szCs w:val="26"/>
        </w:rPr>
        <w:t>»</w:t>
      </w:r>
      <w:r w:rsidRPr="00400D3A">
        <w:rPr>
          <w:rFonts w:ascii="PT Astra Serif" w:hAnsi="PT Astra Serif"/>
          <w:sz w:val="26"/>
          <w:szCs w:val="26"/>
        </w:rPr>
        <w:t>;</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в случае выводов о соответствии размещают их в информационно</w:t>
      </w:r>
      <w:r w:rsidRPr="00400D3A" w:rsidR="003C5628">
        <w:rPr>
          <w:rFonts w:ascii="PT Astra Serif" w:hAnsi="PT Astra Serif"/>
          <w:sz w:val="26"/>
          <w:szCs w:val="26"/>
        </w:rPr>
        <w:t>й программе Учреждения ИС ОГАУ «</w:t>
      </w:r>
      <w:r w:rsidRPr="00400D3A">
        <w:rPr>
          <w:rFonts w:ascii="PT Astra Serif" w:hAnsi="PT Astra Serif"/>
          <w:sz w:val="26"/>
          <w:szCs w:val="26"/>
        </w:rPr>
        <w:t>Томскгосэкспертиза</w:t>
      </w:r>
      <w:r w:rsidRPr="00400D3A" w:rsidR="003C5628">
        <w:rPr>
          <w:rFonts w:ascii="PT Astra Serif" w:hAnsi="PT Astra Serif"/>
          <w:sz w:val="26"/>
          <w:szCs w:val="26"/>
        </w:rPr>
        <w:t>»</w:t>
      </w:r>
      <w:r w:rsidRPr="00400D3A">
        <w:rPr>
          <w:rFonts w:ascii="PT Astra Serif" w:hAnsi="PT Astra Serif"/>
          <w:sz w:val="26"/>
          <w:szCs w:val="26"/>
        </w:rPr>
        <w:t>.</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Документы, подготовленные экспертами при проведении государственной экспертизы, подписываются ими с использованием усиленной квалифицированной электронной подписи.</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Специалист-координатор в случае получения сведений от экспертов о выявленных обстоятельствах, которые являются основанием для оставления документации без рассмотрения, уведомляет руководителя Учреждения.</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Специалист-координатор после подготовки экспертами перечней выявленных недостатков оформляет сводный перечень недостатков с указанием сроков по их устранению для направления заявителю.</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Сводный перечень недостатков с сопроводительным письмом, подписанным усиленной квалифицированной электронной подписью руководителя Учреждения</w:t>
      </w:r>
      <w:r w:rsidRPr="00400D3A" w:rsidR="00C92773">
        <w:rPr>
          <w:rFonts w:ascii="PT Astra Serif" w:hAnsi="PT Astra Serif"/>
          <w:sz w:val="26"/>
          <w:szCs w:val="26"/>
        </w:rPr>
        <w:t>, направляется заявителю через «Личный кабинет заказчика»</w:t>
      </w:r>
      <w:r w:rsidRPr="00400D3A">
        <w:rPr>
          <w:rFonts w:ascii="PT Astra Serif" w:hAnsi="PT Astra Serif"/>
          <w:sz w:val="26"/>
          <w:szCs w:val="26"/>
        </w:rPr>
        <w:t xml:space="preserve"> с использованием сайта Учреждения.</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При проведении государственной экспертизы проектной документации заявитель вправе осуществлять оперативное внесение изменений в проектную документацию в порядке, установленном договором.</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Поступление откорректированной проектной документации контролируется экспертами рабочей группы самостоятельно через </w:t>
      </w:r>
      <w:r w:rsidRPr="00400D3A" w:rsidR="003C5628">
        <w:rPr>
          <w:rFonts w:ascii="PT Astra Serif" w:hAnsi="PT Astra Serif"/>
          <w:sz w:val="26"/>
          <w:szCs w:val="26"/>
        </w:rPr>
        <w:t>информационную систему ИС ОГАУ «</w:t>
      </w:r>
      <w:r w:rsidRPr="00400D3A">
        <w:rPr>
          <w:rFonts w:ascii="PT Astra Serif" w:hAnsi="PT Astra Serif"/>
          <w:sz w:val="26"/>
          <w:szCs w:val="26"/>
        </w:rPr>
        <w:t>Томскгосэкспертиза</w:t>
      </w:r>
      <w:r w:rsidRPr="00400D3A" w:rsidR="003C5628">
        <w:rPr>
          <w:rFonts w:ascii="PT Astra Serif" w:hAnsi="PT Astra Serif"/>
          <w:sz w:val="26"/>
          <w:szCs w:val="26"/>
        </w:rPr>
        <w:t>»</w:t>
      </w:r>
      <w:r w:rsidRPr="00400D3A">
        <w:rPr>
          <w:rFonts w:ascii="PT Astra Serif" w:hAnsi="PT Astra Serif"/>
          <w:sz w:val="26"/>
          <w:szCs w:val="26"/>
        </w:rPr>
        <w:t>. Проверку откорректированной проектной документации эксперты проводят в установленном настоящим пунктом порядке.</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При проведении государственной экспертизы Учреждение вправе:</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а) истребовать, в том числе в рамках межведомственного информационного взаимодействия (при наличии технической возможности), от органов государственной власти, органов местного самоуправления и организаций сведения и документы, необходимые для проведения государственной экспертизы; </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б) привлекать на договорной основе к проведению государственной экспертизы иные государственные и (или) негосударственные организации, а также специалистов.</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Эксперты, специалисты-координаторы вносят предложения руководителю Учреждения о привлечении организаций, специалистов к проведению государственной экспертизы, а также о получении от органов государственной власти, органов местного самоуправления и организаций сведений и документов, необходимых для проведения государственной экспертизы.</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Эксперты проводят государственную экспертизу и осуществляют подготовку заключения государственной экспертизы проектной документации и (или) результатов инженерных изысканий в отношении тех разделов (подразделов разделов) проектной документации и (или) результатов инженерных изысканий, которые соответствуют направлению (направлениям) деятельности этого эксперта, указанному в квалификационном аттестате (квалификационных аттестатах).</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Специалист-координатор на основании локальных заключений, подготовленных экспертами рабочей группы, оформляет заключение государственной экспертизы и передает его для подписания экспертам, а затем на утверждение руководителю Учреждения или уполномоченному им лицу.</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Заключение оформляется в порядке, установленном </w:t>
      </w:r>
      <w:hyperlink r:id="rId35" w:history="1">
        <w:r w:rsidRPr="00400D3A">
          <w:rPr>
            <w:rFonts w:ascii="PT Astra Serif" w:hAnsi="PT Astra Serif"/>
            <w:sz w:val="26"/>
            <w:szCs w:val="26"/>
          </w:rPr>
          <w:t>Приказом</w:t>
        </w:r>
      </w:hyperlink>
      <w:r w:rsidRPr="00400D3A">
        <w:rPr>
          <w:rFonts w:ascii="PT Astra Serif" w:hAnsi="PT Astra Serif"/>
          <w:sz w:val="26"/>
          <w:szCs w:val="26"/>
        </w:rPr>
        <w:t xml:space="preserve"> Министерства строительства и жилищно-коммунального хозяйства Росс</w:t>
      </w:r>
      <w:r w:rsidRPr="00400D3A" w:rsidR="00C92773">
        <w:rPr>
          <w:rFonts w:ascii="PT Astra Serif" w:hAnsi="PT Astra Serif"/>
          <w:sz w:val="26"/>
          <w:szCs w:val="26"/>
        </w:rPr>
        <w:t>ийской Федерации от 08.06.2018 № 341/пр «</w:t>
      </w:r>
      <w:r w:rsidRPr="00400D3A">
        <w:rPr>
          <w:rFonts w:ascii="PT Astra Serif" w:hAnsi="PT Astra Serif"/>
          <w:sz w:val="26"/>
          <w:szCs w:val="26"/>
        </w:rPr>
        <w:t>Об утверждении требований к составу, содержанию и порядку оформления заключения государственной экспертизы проектной документации и (или) результатов инженерных изысканий</w:t>
      </w:r>
      <w:r w:rsidRPr="00400D3A" w:rsidR="00C92773">
        <w:rPr>
          <w:rFonts w:ascii="PT Astra Serif" w:hAnsi="PT Astra Serif"/>
          <w:sz w:val="26"/>
          <w:szCs w:val="26"/>
        </w:rPr>
        <w:t>»</w:t>
      </w:r>
      <w:r w:rsidRPr="00400D3A">
        <w:rPr>
          <w:rFonts w:ascii="PT Astra Serif" w:hAnsi="PT Astra Serif"/>
          <w:sz w:val="26"/>
          <w:szCs w:val="26"/>
        </w:rPr>
        <w:t>.</w:t>
      </w:r>
    </w:p>
    <w:p w:rsidR="000558A9"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Заключение государственной экспертизы подписывается экспертами, участвовавшими в проведении государственной экспертизы, с использованием усиленной квалифицированной электронной подписи и утверждается руководителем Учреждения либо уполномоченным им лицом путем подписания заключения усиленной квалифицированной электронной подписью.</w:t>
      </w:r>
    </w:p>
    <w:p w:rsidR="003C5628"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 xml:space="preserve">29. Проектная документация (часть проектной документации в случае, предусмотренном </w:t>
      </w:r>
      <w:hyperlink r:id="rId36" w:history="1">
        <w:r w:rsidRPr="00400D3A">
          <w:rPr>
            <w:rFonts w:ascii="PT Astra Serif" w:hAnsi="PT Astra Serif"/>
            <w:sz w:val="26"/>
            <w:szCs w:val="26"/>
          </w:rPr>
          <w:t xml:space="preserve">подпунктом «б» пункта 9 </w:t>
        </w:r>
      </w:hyperlink>
      <w:r w:rsidRPr="00400D3A">
        <w:rPr>
          <w:rFonts w:ascii="PT Astra Serif" w:hAnsi="PT Astra Serif"/>
          <w:sz w:val="26"/>
          <w:szCs w:val="26"/>
        </w:rPr>
        <w:t>настоящего регламента) и (или) результаты инженерных изысканий направляются повторно (2 раза и более)</w:t>
      </w:r>
      <w:r w:rsidR="00D808A8">
        <w:rPr>
          <w:rFonts w:ascii="PT Astra Serif" w:hAnsi="PT Astra Serif"/>
          <w:sz w:val="26"/>
          <w:szCs w:val="26"/>
        </w:rPr>
        <w:t xml:space="preserve"> на государственную экспертизу:</w:t>
      </w:r>
    </w:p>
    <w:p w:rsidR="003C5628" w:rsidRPr="00400D3A" w:rsidP="00983EB6">
      <w:pPr>
        <w:autoSpaceDE w:val="0"/>
        <w:autoSpaceDN w:val="0"/>
        <w:adjustRightInd w:val="0"/>
        <w:ind w:firstLine="709"/>
        <w:jc w:val="both"/>
        <w:rPr>
          <w:rFonts w:ascii="PT Astra Serif" w:hAnsi="PT Astra Serif"/>
          <w:sz w:val="26"/>
          <w:szCs w:val="26"/>
        </w:rPr>
      </w:pPr>
      <w:r w:rsidRPr="00400D3A">
        <w:rPr>
          <w:rFonts w:ascii="PT Astra Serif" w:hAnsi="PT Astra Serif"/>
          <w:sz w:val="26"/>
          <w:szCs w:val="26"/>
        </w:rPr>
        <w:t>а) после устранения недостатков, указанных в отрицательном заключении государственной экспертизы;</w:t>
      </w:r>
    </w:p>
    <w:p w:rsidR="003C5628" w:rsidRPr="00400D3A" w:rsidP="00983EB6">
      <w:pPr>
        <w:autoSpaceDE w:val="0"/>
        <w:autoSpaceDN w:val="0"/>
        <w:adjustRightInd w:val="0"/>
        <w:ind w:firstLine="709"/>
        <w:jc w:val="both"/>
        <w:rPr>
          <w:rFonts w:ascii="PT Astra Serif" w:hAnsi="PT Astra Serif" w:eastAsiaTheme="minorHAnsi" w:cs="PT Astra Serif"/>
          <w:bCs/>
          <w:sz w:val="26"/>
          <w:szCs w:val="26"/>
        </w:rPr>
      </w:pPr>
      <w:r w:rsidRPr="00400D3A">
        <w:rPr>
          <w:rFonts w:ascii="PT Astra Serif" w:hAnsi="PT Astra Serif"/>
          <w:sz w:val="26"/>
          <w:szCs w:val="26"/>
        </w:rPr>
        <w:t>б) при внесении изменений в проектную</w:t>
      </w:r>
      <w:r w:rsidRPr="00400D3A">
        <w:rPr>
          <w:rFonts w:ascii="PT Astra Serif" w:hAnsi="PT Astra Serif" w:eastAsiaTheme="minorHAnsi" w:cs="PT Astra Serif"/>
          <w:bCs/>
          <w:sz w:val="26"/>
          <w:szCs w:val="26"/>
        </w:rPr>
        <w:t xml:space="preserve"> документацию, получившую положительное заключение государственной экспертизы, не предусмотренных </w:t>
      </w:r>
      <w:hyperlink r:id="rId37" w:history="1">
        <w:r w:rsidRPr="00400D3A">
          <w:rPr>
            <w:rFonts w:ascii="PT Astra Serif" w:hAnsi="PT Astra Serif" w:eastAsiaTheme="minorHAnsi" w:cs="PT Astra Serif"/>
            <w:bCs/>
            <w:sz w:val="26"/>
            <w:szCs w:val="26"/>
          </w:rPr>
          <w:t>частью 3.8 статьи 49</w:t>
        </w:r>
      </w:hyperlink>
      <w:r w:rsidRPr="00400D3A">
        <w:rPr>
          <w:rFonts w:ascii="PT Astra Serif" w:hAnsi="PT Astra Serif" w:eastAsiaTheme="minorHAnsi" w:cs="PT Astra Serif"/>
          <w:bCs/>
          <w:sz w:val="26"/>
          <w:szCs w:val="26"/>
        </w:rPr>
        <w:t xml:space="preserve"> Градостроительного кодекса Российской Федерации;</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в) при внесении изменений в проектную документацию, получившую положительное заключение государственной экспертизы, предусмотренных </w:t>
      </w:r>
      <w:hyperlink r:id="rId37" w:history="1">
        <w:r w:rsidRPr="00400D3A">
          <w:rPr>
            <w:rFonts w:ascii="PT Astra Serif" w:hAnsi="PT Astra Serif" w:eastAsiaTheme="minorHAnsi" w:cs="PT Astra Serif"/>
            <w:bCs/>
            <w:sz w:val="26"/>
            <w:szCs w:val="26"/>
          </w:rPr>
          <w:t>частью 3.8 статьи 49</w:t>
        </w:r>
      </w:hyperlink>
      <w:r w:rsidRPr="00400D3A">
        <w:rPr>
          <w:rFonts w:ascii="PT Astra Serif" w:hAnsi="PT Astra Serif" w:eastAsiaTheme="minorHAnsi" w:cs="PT Astra Serif"/>
          <w:bCs/>
          <w:sz w:val="26"/>
          <w:szCs w:val="26"/>
        </w:rPr>
        <w:t xml:space="preserve"> Градостроительного кодекса Российской Федерации, - по инициативе заявителя.</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Повторная государственная экспертиза осуществляется в порядке, предусмотренном для проведения первичной государственной экспертизы, за исключением проведения экспертного сопровождения, которое осуществляется в порядке, предусмотренном </w:t>
      </w:r>
      <w:hyperlink r:id="rId38" w:history="1">
        <w:r w:rsidRPr="00400D3A">
          <w:rPr>
            <w:rFonts w:ascii="PT Astra Serif" w:hAnsi="PT Astra Serif" w:eastAsiaTheme="minorHAnsi" w:cs="PT Astra Serif"/>
            <w:bCs/>
            <w:sz w:val="26"/>
            <w:szCs w:val="26"/>
          </w:rPr>
          <w:t>пунктами 45(2)</w:t>
        </w:r>
      </w:hyperlink>
      <w:r w:rsidRPr="00400D3A">
        <w:rPr>
          <w:rFonts w:ascii="PT Astra Serif" w:hAnsi="PT Astra Serif" w:eastAsiaTheme="minorHAnsi" w:cs="PT Astra Serif"/>
          <w:bCs/>
          <w:sz w:val="26"/>
          <w:szCs w:val="26"/>
        </w:rPr>
        <w:t xml:space="preserve"> - </w:t>
      </w:r>
      <w:hyperlink r:id="rId39" w:history="1">
        <w:r w:rsidRPr="00400D3A">
          <w:rPr>
            <w:rFonts w:ascii="PT Astra Serif" w:hAnsi="PT Astra Serif" w:eastAsiaTheme="minorHAnsi" w:cs="PT Astra Serif"/>
            <w:bCs/>
            <w:sz w:val="26"/>
            <w:szCs w:val="26"/>
          </w:rPr>
          <w:t>45(10)</w:t>
        </w:r>
      </w:hyperlink>
      <w:r w:rsidRPr="00400D3A">
        <w:rPr>
          <w:rFonts w:ascii="PT Astra Serif" w:hAnsi="PT Astra Serif" w:eastAsiaTheme="minorHAnsi" w:cs="PT Astra Serif"/>
          <w:bCs/>
          <w:sz w:val="26"/>
          <w:szCs w:val="26"/>
        </w:rPr>
        <w:t xml:space="preserve"> Положения.</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К заявлению о проведении повторной государственной экспертизы прилагается справка, подписанная главным инженером проекта, в которой описываются внесенные изменения в проектную документацию и (или) результаты инженерных изысканий.</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В случае если недостатки, послужившие основанием для отрицательного заключения государственной экспертизы, устранимы без возврата документов, представленных на бумажном и (или) электронном носителе, в случае, предусмотренном </w:t>
      </w:r>
      <w:hyperlink r:id="rId40" w:history="1">
        <w:r w:rsidRPr="00400D3A">
          <w:rPr>
            <w:rFonts w:ascii="PT Astra Serif" w:hAnsi="PT Astra Serif" w:eastAsiaTheme="minorHAnsi" w:cs="PT Astra Serif"/>
            <w:bCs/>
            <w:sz w:val="26"/>
            <w:szCs w:val="26"/>
          </w:rPr>
          <w:t>абзацем четвертым пункта 18</w:t>
        </w:r>
      </w:hyperlink>
      <w:r w:rsidRPr="00400D3A">
        <w:rPr>
          <w:rFonts w:ascii="PT Astra Serif" w:hAnsi="PT Astra Serif" w:eastAsiaTheme="minorHAnsi" w:cs="PT Astra Serif"/>
          <w:bCs/>
          <w:sz w:val="26"/>
          <w:szCs w:val="26"/>
        </w:rPr>
        <w:t xml:space="preserve"> Положения, и заявитель не настаивает на возврате таких документов, организация по проведению государственной экспертизы в порядке и сроки, которые определены договором, устанавливает срок для устранения таких недостатков. В этом случае документы, представленные на государственную экспертизу, заявителю не возвращаются. После их доработки в порядке, определенном договором, заявитель представляет в организацию по проведению государственной экспертизы часть проектной документации и (или) результатов инженерных изысканий с внесенными изменениями и справку с описанием этих изменений. </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Экспертной оценке при проведении повторной государственной экспертизы подлежит часть проектной документации и (или) результатов инженерных изысканий, в которую были внесены изменения, а также совместимость внесенных изменений с проектной документацией и (или) результатами инженерных изысканий, в отношении которых была ранее проведена государственная экспертиза.</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bookmarkStart w:id="3" w:name="Par13"/>
      <w:bookmarkEnd w:id="3"/>
      <w:r w:rsidRPr="00400D3A">
        <w:rPr>
          <w:rFonts w:ascii="PT Astra Serif" w:hAnsi="PT Astra Serif" w:eastAsiaTheme="minorHAnsi" w:cs="PT Astra Serif"/>
          <w:bCs/>
          <w:sz w:val="26"/>
          <w:szCs w:val="26"/>
        </w:rPr>
        <w:t>Проектная документация и (или) результаты инженерных изысканий подлежат экспертной оценке в полном объеме в случае, если после проведения первичной (предыдущей повторной) государственной экспертизы такой проектной документации и (или) результатов инженерных изысканий в законодательство Российской Федерации внесены изменения, в соответствии с которыми государственная экспертиза должна осуществляться иной организацией по проведению государственной экспертизы.</w:t>
      </w:r>
    </w:p>
    <w:p w:rsidR="003C5628"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При проведении государственной экспертизы проектной документации, в том числе в части проверки достоверности определения сметной стоимости, проектная документация </w:t>
      </w:r>
      <w:r w:rsidRPr="00400D3A">
        <w:rPr>
          <w:rFonts w:ascii="PT Astra Serif" w:hAnsi="PT Astra Serif" w:eastAsiaTheme="minorHAnsi" w:cs="PT Astra Serif"/>
          <w:bCs/>
          <w:sz w:val="26"/>
          <w:szCs w:val="26"/>
        </w:rPr>
        <w:t xml:space="preserve">подлежит экспертной оценке в полном объеме в случае, если при проведении первичной (предыдущей повторной) государственной экспертизы такой проектной документации оценка, предусмотренная </w:t>
      </w:r>
      <w:hyperlink r:id="rId22" w:history="1">
        <w:r w:rsidRPr="00400D3A">
          <w:rPr>
            <w:rFonts w:ascii="PT Astra Serif" w:hAnsi="PT Astra Serif" w:eastAsiaTheme="minorHAnsi" w:cs="PT Astra Serif"/>
            <w:bCs/>
            <w:sz w:val="26"/>
            <w:szCs w:val="26"/>
          </w:rPr>
          <w:t>подпунктом «а» пункта 27</w:t>
        </w:r>
      </w:hyperlink>
      <w:r w:rsidRPr="00400D3A">
        <w:rPr>
          <w:rFonts w:ascii="PT Astra Serif" w:hAnsi="PT Astra Serif" w:eastAsiaTheme="minorHAnsi" w:cs="PT Astra Serif"/>
          <w:bCs/>
          <w:sz w:val="26"/>
          <w:szCs w:val="26"/>
        </w:rPr>
        <w:t xml:space="preserve"> Положения, или проверка сметной стоимости в соответствии с </w:t>
      </w:r>
      <w:hyperlink r:id="rId11" w:history="1">
        <w:r w:rsidRPr="00400D3A">
          <w:rPr>
            <w:rFonts w:ascii="PT Astra Serif" w:hAnsi="PT Astra Serif" w:eastAsiaTheme="minorHAnsi" w:cs="PT Astra Serif"/>
            <w:bCs/>
            <w:sz w:val="26"/>
            <w:szCs w:val="26"/>
          </w:rPr>
          <w:t>подпунктом «б» пункта 27</w:t>
        </w:r>
      </w:hyperlink>
      <w:r w:rsidRPr="00400D3A">
        <w:rPr>
          <w:rFonts w:ascii="PT Astra Serif" w:hAnsi="PT Astra Serif" w:eastAsiaTheme="minorHAnsi" w:cs="PT Astra Serif"/>
          <w:bCs/>
          <w:sz w:val="26"/>
          <w:szCs w:val="26"/>
        </w:rPr>
        <w:t xml:space="preserve"> Положения не проводились.</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30. Выдача заключения государственной экспертизы осуществляется в электронной форме. В случае, предусмотренном </w:t>
      </w:r>
      <w:hyperlink r:id="rId40" w:history="1">
        <w:r w:rsidRPr="00400D3A">
          <w:rPr>
            <w:rFonts w:ascii="PT Astra Serif" w:hAnsi="PT Astra Serif" w:eastAsiaTheme="minorHAnsi" w:cs="PT Astra Serif"/>
            <w:bCs/>
            <w:sz w:val="26"/>
            <w:szCs w:val="26"/>
          </w:rPr>
          <w:t>абзацем четвертым пункта 18</w:t>
        </w:r>
      </w:hyperlink>
      <w:r w:rsidRPr="00400D3A">
        <w:rPr>
          <w:rFonts w:ascii="PT Astra Serif" w:hAnsi="PT Astra Serif" w:eastAsiaTheme="minorHAnsi" w:cs="PT Astra Serif"/>
          <w:bCs/>
          <w:sz w:val="26"/>
          <w:szCs w:val="26"/>
        </w:rPr>
        <w:t xml:space="preserve"> Положения, выдача заключения государственной экспертизы осуществляется на бумажном носителе на руки заявителю или путем направления заказного письма, если иное не установлено законодательством Российской Федерации о государственной тайне. Положительное заключение государственной экспертизы на бумажном носителе выдается в 4 экземплярах, отрицательное - в одном.</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Документы, представленные на бумажном и (или) электронном носителе, в случае, предусмотренном </w:t>
      </w:r>
      <w:hyperlink r:id="rId40" w:history="1">
        <w:r w:rsidRPr="00400D3A">
          <w:rPr>
            <w:rFonts w:ascii="PT Astra Serif" w:hAnsi="PT Astra Serif" w:eastAsiaTheme="minorHAnsi" w:cs="PT Astra Serif"/>
            <w:bCs/>
            <w:sz w:val="26"/>
            <w:szCs w:val="26"/>
          </w:rPr>
          <w:t>абзацем четвертым пункта 18</w:t>
        </w:r>
      </w:hyperlink>
      <w:r w:rsidRPr="00400D3A">
        <w:rPr>
          <w:rFonts w:ascii="PT Astra Serif" w:hAnsi="PT Astra Serif" w:eastAsiaTheme="minorHAnsi" w:cs="PT Astra Serif"/>
          <w:bCs/>
          <w:sz w:val="26"/>
          <w:szCs w:val="26"/>
        </w:rPr>
        <w:t xml:space="preserve"> настоящего Положения, подлежат возврату заявителю в сроки и в порядке, которые определены договором.</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Организация по проведению государственной экспертизы ведет реестр выданных заключений государственной экспертизы.</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Информация, содержащаяся в реестре выданных заключений государственной экспертизы, является открытой и предоставляется любому лицу в течение 10 дней с даты получения организацией по проведению государственной экспертизы письменного запроса.</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bookmarkStart w:id="4" w:name="Par24"/>
      <w:bookmarkEnd w:id="4"/>
      <w:r w:rsidRPr="00400D3A">
        <w:rPr>
          <w:rFonts w:ascii="PT Astra Serif" w:hAnsi="PT Astra Serif" w:eastAsiaTheme="minorHAnsi" w:cs="PT Astra Serif"/>
          <w:bCs/>
          <w:sz w:val="26"/>
          <w:szCs w:val="26"/>
        </w:rPr>
        <w:t>В случае утраты заключения государственной экспертизы, подготовленного в форме бумажного документа, заявитель вправе получить в организации по проведению государственной экспертизы заверенную копию этого заключения. Выдача заверенной копии осуществляется бесплатно в течение 7 рабочих дней со дня получения указанной организацией письменного обращения.</w:t>
      </w:r>
    </w:p>
    <w:p w:rsidR="00CE3816" w:rsidRPr="00400D3A" w:rsidP="00983EB6">
      <w:pPr>
        <w:autoSpaceDE w:val="0"/>
        <w:autoSpaceDN w:val="0"/>
        <w:adjustRightInd w:val="0"/>
        <w:spacing w:before="120"/>
        <w:ind w:firstLine="709"/>
        <w:contextualSpacing/>
        <w:jc w:val="both"/>
        <w:rPr>
          <w:rFonts w:ascii="PT Astra Serif" w:hAnsi="PT Astra Serif" w:eastAsiaTheme="minorHAnsi" w:cs="PT Astra Serif"/>
          <w:bCs/>
          <w:sz w:val="26"/>
          <w:szCs w:val="26"/>
        </w:rPr>
      </w:pPr>
      <w:r w:rsidRPr="00400D3A">
        <w:rPr>
          <w:rFonts w:ascii="PT Astra Serif" w:hAnsi="PT Astra Serif" w:eastAsiaTheme="minorHAnsi" w:cs="PT Astra Serif"/>
          <w:bCs/>
          <w:sz w:val="26"/>
          <w:szCs w:val="26"/>
        </w:rPr>
        <w:t xml:space="preserve">В случае утраты заключения государственной экспертизы, подготовленного в электронной форме, заявитель вправе получить в организации по проведению государственной экспертизы экземпляр этого заключения в порядке, предусмотренном </w:t>
      </w:r>
      <w:hyperlink w:anchor="Par24" w:history="1">
        <w:r w:rsidRPr="00400D3A">
          <w:rPr>
            <w:rFonts w:ascii="PT Astra Serif" w:hAnsi="PT Astra Serif" w:eastAsiaTheme="minorHAnsi" w:cs="PT Astra Serif"/>
            <w:bCs/>
            <w:sz w:val="26"/>
            <w:szCs w:val="26"/>
          </w:rPr>
          <w:t>абзацем первым</w:t>
        </w:r>
      </w:hyperlink>
      <w:r w:rsidRPr="00400D3A">
        <w:rPr>
          <w:rFonts w:ascii="PT Astra Serif" w:hAnsi="PT Astra Serif" w:eastAsiaTheme="minorHAnsi" w:cs="PT Astra Serif"/>
          <w:bCs/>
          <w:sz w:val="26"/>
          <w:szCs w:val="26"/>
        </w:rPr>
        <w:t xml:space="preserve"> н</w:t>
      </w:r>
      <w:r w:rsidRPr="00400D3A" w:rsidR="007A267B">
        <w:rPr>
          <w:rFonts w:ascii="PT Astra Serif" w:hAnsi="PT Astra Serif" w:eastAsiaTheme="minorHAnsi" w:cs="PT Astra Serif"/>
          <w:bCs/>
          <w:sz w:val="26"/>
          <w:szCs w:val="26"/>
        </w:rPr>
        <w:t>астоящего пункта.».</w:t>
      </w:r>
    </w:p>
    <w:p w:rsidR="00023A57" w:rsidRPr="00400D3A" w:rsidP="00983EB6">
      <w:pPr>
        <w:pStyle w:val="ConsPlusNormal"/>
        <w:ind w:firstLine="709"/>
        <w:jc w:val="both"/>
        <w:rPr>
          <w:rFonts w:ascii="PT Astra Serif" w:hAnsi="PT Astra Serif" w:cs="Times New Roman"/>
          <w:sz w:val="26"/>
          <w:szCs w:val="26"/>
        </w:rPr>
      </w:pPr>
      <w:r w:rsidRPr="00400D3A">
        <w:rPr>
          <w:rFonts w:ascii="PT Astra Serif" w:hAnsi="PT Astra Serif" w:cs="Times New Roman"/>
          <w:sz w:val="26"/>
          <w:szCs w:val="26"/>
        </w:rPr>
        <w:t>2. Настоящий приказ вступает в силу со дня его официального опубликования.</w:t>
      </w:r>
    </w:p>
    <w:p w:rsidR="00993D32" w:rsidP="00983EB6">
      <w:pPr>
        <w:pStyle w:val="ConsPlusNormal"/>
        <w:ind w:firstLine="709"/>
        <w:jc w:val="both"/>
        <w:rPr>
          <w:rFonts w:ascii="PT Astra Serif" w:hAnsi="PT Astra Serif" w:cs="Times New Roman"/>
          <w:sz w:val="26"/>
          <w:szCs w:val="26"/>
        </w:rPr>
      </w:pPr>
    </w:p>
    <w:p w:rsidR="0058414E" w:rsidP="00983EB6">
      <w:pPr>
        <w:pStyle w:val="ConsPlusNormal"/>
        <w:ind w:firstLine="709"/>
        <w:jc w:val="both"/>
        <w:rPr>
          <w:rFonts w:ascii="PT Astra Serif" w:hAnsi="PT Astra Serif" w:cs="Times New Roman"/>
          <w:sz w:val="26"/>
          <w:szCs w:val="26"/>
        </w:rPr>
      </w:pPr>
    </w:p>
    <w:p w:rsidR="0058414E" w:rsidRPr="002E74C5" w:rsidP="00983EB6">
      <w:pPr>
        <w:pStyle w:val="ConsPlusNormal"/>
        <w:ind w:firstLine="709"/>
        <w:jc w:val="both"/>
        <w:rPr>
          <w:rFonts w:ascii="PT Astra Serif" w:hAnsi="PT Astra Serif" w:cs="Times New Roman"/>
          <w:sz w:val="26"/>
          <w:szCs w:val="26"/>
        </w:rPr>
      </w:pPr>
    </w:p>
    <w:tbl>
      <w:tblPr>
        <w:tblW w:w="10314" w:type="dxa"/>
        <w:tblLook w:val="04A0"/>
      </w:tblPr>
      <w:tblGrid>
        <w:gridCol w:w="3325"/>
        <w:gridCol w:w="3190"/>
        <w:gridCol w:w="3799"/>
      </w:tblGrid>
      <w:tr w:rsidTr="00DA1F9A">
        <w:tblPrEx>
          <w:tblW w:w="10314" w:type="dxa"/>
          <w:tblLook w:val="04A0"/>
        </w:tblPrEx>
        <w:tc>
          <w:tcPr>
            <w:tcW w:w="3325" w:type="dxa"/>
            <w:tcBorders>
              <w:top w:val="nil"/>
              <w:left w:val="nil"/>
              <w:bottom w:val="nil"/>
              <w:right w:val="nil"/>
            </w:tcBorders>
            <w:noWrap/>
          </w:tcPr>
          <w:p w:rsidR="00993D32" w:rsidRPr="002E74C5" w:rsidP="003B7624">
            <w:pPr>
              <w:tabs>
                <w:tab w:val="left" w:pos="7088"/>
              </w:tabs>
              <w:jc w:val="both"/>
              <w:rPr>
                <w:rFonts w:ascii="PT Astra Serif" w:eastAsia="PT Astra Serif" w:hAnsi="PT Astra Serif" w:cs="PT Astra Serif"/>
                <w:sz w:val="26"/>
                <w:szCs w:val="26"/>
              </w:rPr>
            </w:pPr>
            <w:r w:rsidRPr="002E74C5">
              <w:rPr>
                <w:rFonts w:ascii="PT Astra Serif" w:hAnsi="PT Astra Serif"/>
                <w:sz w:val="26"/>
                <w:szCs w:val="26"/>
              </w:rPr>
              <w:t xml:space="preserve">Начальник Департамента </w:t>
            </w:r>
          </w:p>
        </w:tc>
        <w:tc>
          <w:tcPr>
            <w:tcW w:w="3190" w:type="dxa"/>
            <w:tcBorders>
              <w:top w:val="nil"/>
              <w:left w:val="nil"/>
              <w:bottom w:val="nil"/>
              <w:right w:val="nil"/>
            </w:tcBorders>
            <w:noWrap/>
          </w:tcPr>
          <w:p w:rsidR="00993D32" w:rsidRPr="002E74C5" w:rsidP="00983EB6">
            <w:pPr>
              <w:tabs>
                <w:tab w:val="left" w:pos="7088"/>
              </w:tabs>
              <w:ind w:firstLine="709"/>
              <w:jc w:val="center"/>
              <w:rPr>
                <w:rFonts w:ascii="PT Astra Serif" w:eastAsia="PT Astra Serif" w:hAnsi="PT Astra Serif" w:cs="PT Astra Serif"/>
                <w:sz w:val="26"/>
                <w:szCs w:val="26"/>
              </w:rPr>
            </w:pPr>
            <w:r w:rsidRPr="00AB54C8">
              <w:rPr>
                <w:rFonts w:ascii="PT Astra Serif" w:eastAsia="PT Astra Serif" w:hAnsi="PT Astra Serif" w:cs="PT Astra Serif"/>
                <w:sz w:val="26"/>
                <w:szCs w:val="26"/>
              </w:rPr>
              <w:fldChar w:fldCharType="begin"/>
            </w:r>
            <w:bookmarkStart w:id="5" w:name="Штамп"/>
            <w:r w:rsidRPr="00AB54C8">
              <w:rPr>
                <w:rFonts w:ascii="PT Astra Serif" w:eastAsia="PT Astra Serif" w:hAnsi="PT Astra Serif" w:cs="PT Astra Serif"/>
                <w:sz w:val="26"/>
                <w:szCs w:val="26"/>
              </w:rPr>
              <w:instrText xml:space="preserve"> FORMTEXT </w:instrText>
            </w:r>
            <w:r w:rsidRPr="00AB54C8">
              <w:rPr>
                <w:rFonts w:ascii="PT Astra Serif" w:eastAsia="PT Astra Serif" w:hAnsi="PT Astra Serif" w:cs="PT Astra Serif"/>
                <w:sz w:val="26"/>
                <w:szCs w:val="26"/>
              </w:rPr>
              <w:fldChar w:fldCharType="separate"/>
            </w:r>
            <w:r w:rsidRPr="00AB54C8">
              <w:rPr>
                <w:rFonts w:ascii="PT Astra Serif" w:eastAsia="PT Astra Serif" w:hAnsi="PT Astra Serif" w:cs="PT Astra Serif"/>
                <w:sz w:val="26"/>
                <w:szCs w:val="26"/>
              </w:rPr>
              <w:fldChar w:fldCharType="end"/>
            </w:r>
            <w:bookmarkEnd w:id="5"/>
          </w:p>
        </w:tc>
        <w:tc>
          <w:tcPr>
            <w:tcW w:w="3799" w:type="dxa"/>
            <w:tcBorders>
              <w:top w:val="nil"/>
              <w:left w:val="nil"/>
              <w:bottom w:val="nil"/>
              <w:right w:val="nil"/>
            </w:tcBorders>
            <w:noWrap/>
          </w:tcPr>
          <w:p w:rsidR="00993D32" w:rsidRPr="002E74C5" w:rsidP="00983EB6">
            <w:pPr>
              <w:tabs>
                <w:tab w:val="left" w:pos="7088"/>
              </w:tabs>
              <w:ind w:firstLine="709"/>
              <w:jc w:val="right"/>
              <w:rPr>
                <w:rFonts w:ascii="PT Astra Serif" w:eastAsia="PT Astra Serif" w:hAnsi="PT Astra Serif" w:cs="PT Astra Serif"/>
                <w:sz w:val="26"/>
                <w:szCs w:val="26"/>
              </w:rPr>
            </w:pPr>
            <w:r w:rsidRPr="002E74C5">
              <w:rPr>
                <w:rFonts w:ascii="PT Astra Serif" w:hAnsi="PT Astra Serif"/>
                <w:sz w:val="26"/>
                <w:szCs w:val="26"/>
              </w:rPr>
              <w:t> Д.Ю.Ассонов</w:t>
            </w:r>
          </w:p>
        </w:tc>
      </w:tr>
    </w:tbl>
    <w:p w:rsidR="006E39B1" w:rsidRPr="00400D3A" w:rsidP="00983EB6">
      <w:pPr>
        <w:pStyle w:val="ConsPlusNormal"/>
        <w:ind w:firstLine="709"/>
        <w:jc w:val="both"/>
        <w:rPr>
          <w:rFonts w:ascii="PT Astra Serif" w:eastAsia="PT Astra Serif" w:hAnsi="PT Astra Serif" w:cs="PT Astra Serif"/>
          <w:sz w:val="26"/>
          <w:szCs w:val="26"/>
        </w:rPr>
      </w:pPr>
      <w:bookmarkStart w:id="6" w:name="_GoBack"/>
      <w:bookmarkEnd w:id="6"/>
    </w:p>
    <w:sectPr w:rsidSect="005E6423">
      <w:headerReference w:type="default" r:id="rId41"/>
      <w:headerReference w:type="first" r:id="rId42"/>
      <w:type w:val="continuous"/>
      <w:pgSz w:w="11907" w:h="16840"/>
      <w:pgMar w:top="1134" w:right="567" w:bottom="1134" w:left="1134" w:header="567" w:footer="567"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panose1 w:val="020A0603040505020204"/>
    <w:charset w:val="CC"/>
    <w:family w:val="roman"/>
    <w:pitch w:val="variable"/>
    <w:sig w:usb0="A00002EF" w:usb1="5000204B" w:usb2="00000020" w:usb3="00000000" w:csb0="00000097"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324316878"/>
      <w:docPartObj>
        <w:docPartGallery w:val="Page Numbers (Top of Page)"/>
        <w:docPartUnique/>
      </w:docPartObj>
    </w:sdtPr>
    <w:sdtEndPr>
      <w:rPr>
        <w:rFonts w:ascii="PT Astra Serif" w:hAnsi="PT Astra Serif"/>
        <w:sz w:val="26"/>
        <w:szCs w:val="26"/>
      </w:rPr>
    </w:sdtEndPr>
    <w:sdtContent>
      <w:p w:rsidR="003B7624" w:rsidRPr="003B7624">
        <w:pPr>
          <w:pStyle w:val="Header"/>
          <w:rPr>
            <w:rFonts w:ascii="PT Astra Serif" w:hAnsi="PT Astra Serif"/>
            <w:sz w:val="26"/>
            <w:szCs w:val="26"/>
          </w:rPr>
        </w:pPr>
        <w:r w:rsidRPr="003B7624">
          <w:rPr>
            <w:rFonts w:ascii="PT Astra Serif" w:hAnsi="PT Astra Serif"/>
            <w:sz w:val="26"/>
            <w:szCs w:val="26"/>
          </w:rPr>
          <w:fldChar w:fldCharType="begin"/>
        </w:r>
        <w:r w:rsidRPr="003B7624">
          <w:rPr>
            <w:rFonts w:ascii="PT Astra Serif" w:hAnsi="PT Astra Serif"/>
            <w:sz w:val="26"/>
            <w:szCs w:val="26"/>
          </w:rPr>
          <w:instrText>PAGE   \* MERGEFORMAT</w:instrText>
        </w:r>
        <w:r w:rsidRPr="003B7624">
          <w:rPr>
            <w:rFonts w:ascii="PT Astra Serif" w:hAnsi="PT Astra Serif"/>
            <w:sz w:val="26"/>
            <w:szCs w:val="26"/>
          </w:rPr>
          <w:fldChar w:fldCharType="separate"/>
        </w:r>
        <w:r w:rsidR="00621597">
          <w:rPr>
            <w:rFonts w:ascii="PT Astra Serif" w:hAnsi="PT Astra Serif"/>
            <w:noProof/>
            <w:sz w:val="26"/>
            <w:szCs w:val="26"/>
          </w:rPr>
          <w:t>2</w:t>
        </w:r>
        <w:r w:rsidRPr="003B7624">
          <w:rPr>
            <w:rFonts w:ascii="PT Astra Serif" w:hAnsi="PT Astra Serif"/>
            <w:sz w:val="26"/>
            <w:szCs w:val="26"/>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E3CF8">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
                  <pic:cNvPicPr>
                    <a:picLocks noChangeAspect="1"/>
                  </pic:cNvPicPr>
                </pic:nvPicPr>
                <pic:blipFill>
                  <a:blip xmlns:r="http://schemas.openxmlformats.org/officeDocument/2006/relationships" r:embed="rId1"/>
                  <a:stretch>
                    <a:fillRect/>
                  </a:stretch>
                </pic:blipFill>
                <pic:spPr bwMode="auto">
                  <a:xfrm>
                    <a:off x="0" y="0"/>
                    <a:ext cx="676275" cy="619125"/>
                  </a:xfrm>
                  <a:prstGeom prst="rect">
                    <a:avLst/>
                  </a:prstGeom>
                  <a:noFill/>
                  <a:ln>
                    <a:noFill/>
                  </a:ln>
                </pic:spPr>
              </pic:pic>
            </a:graphicData>
          </a:graphic>
        </wp:inline>
      </w:drawing>
    </w:r>
  </w:p>
  <w:p w:rsidR="00BE3CF8">
    <w:pPr>
      <w:pStyle w:val="Header"/>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строительства</w:t>
    </w:r>
    <w:r w:rsidR="006A21CA">
      <w:rPr>
        <w:rFonts w:ascii="PT Astra Serif" w:eastAsia="PT Astra Serif" w:hAnsi="PT Astra Serif" w:cs="PT Astra Serif"/>
        <w:sz w:val="30"/>
        <w:szCs w:val="30"/>
        <w:lang w:val="en-US"/>
      </w:rPr>
      <w:t xml:space="preserve"> </w:t>
    </w:r>
    <w:r>
      <w:rPr>
        <w:rFonts w:ascii="PT Astra Serif" w:eastAsia="PT Astra Serif" w:hAnsi="PT Astra Serif" w:cs="PT Astra Serif"/>
        <w:sz w:val="30"/>
        <w:szCs w:val="30"/>
      </w:rPr>
      <w:t>ТОМСКОЙ ОБЛАСТИ</w:t>
    </w:r>
  </w:p>
  <w:p w:rsidR="00BE3CF8">
    <w:pPr>
      <w:pStyle w:val="Header"/>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CF8"/>
    <w:rsid w:val="00002970"/>
    <w:rsid w:val="00011C91"/>
    <w:rsid w:val="00023A57"/>
    <w:rsid w:val="00025EEB"/>
    <w:rsid w:val="00036046"/>
    <w:rsid w:val="0004603B"/>
    <w:rsid w:val="00051C6F"/>
    <w:rsid w:val="000558A9"/>
    <w:rsid w:val="000849CC"/>
    <w:rsid w:val="000A5D1D"/>
    <w:rsid w:val="000B188D"/>
    <w:rsid w:val="000B2461"/>
    <w:rsid w:val="000C011D"/>
    <w:rsid w:val="000D645E"/>
    <w:rsid w:val="00112C32"/>
    <w:rsid w:val="00114A4D"/>
    <w:rsid w:val="001321C2"/>
    <w:rsid w:val="00142FD6"/>
    <w:rsid w:val="00147EBE"/>
    <w:rsid w:val="0016350A"/>
    <w:rsid w:val="0016491B"/>
    <w:rsid w:val="001A58EE"/>
    <w:rsid w:val="0020022D"/>
    <w:rsid w:val="00233D70"/>
    <w:rsid w:val="00255A01"/>
    <w:rsid w:val="002601D1"/>
    <w:rsid w:val="00272231"/>
    <w:rsid w:val="00284207"/>
    <w:rsid w:val="002E74C5"/>
    <w:rsid w:val="00374945"/>
    <w:rsid w:val="00396C6D"/>
    <w:rsid w:val="003B3497"/>
    <w:rsid w:val="003B7624"/>
    <w:rsid w:val="003C5628"/>
    <w:rsid w:val="003E344F"/>
    <w:rsid w:val="003F1E03"/>
    <w:rsid w:val="00400D3A"/>
    <w:rsid w:val="00415E7E"/>
    <w:rsid w:val="004238B5"/>
    <w:rsid w:val="004A0474"/>
    <w:rsid w:val="004C0BB2"/>
    <w:rsid w:val="004C5EF7"/>
    <w:rsid w:val="00506041"/>
    <w:rsid w:val="00510171"/>
    <w:rsid w:val="00534095"/>
    <w:rsid w:val="00554C8F"/>
    <w:rsid w:val="0058414E"/>
    <w:rsid w:val="00597903"/>
    <w:rsid w:val="005A5BD1"/>
    <w:rsid w:val="005C401E"/>
    <w:rsid w:val="005D2C34"/>
    <w:rsid w:val="005E6423"/>
    <w:rsid w:val="00602378"/>
    <w:rsid w:val="00621597"/>
    <w:rsid w:val="00621D1D"/>
    <w:rsid w:val="006406FE"/>
    <w:rsid w:val="0064267B"/>
    <w:rsid w:val="0065080D"/>
    <w:rsid w:val="00671E8D"/>
    <w:rsid w:val="00684275"/>
    <w:rsid w:val="0069709B"/>
    <w:rsid w:val="006A0393"/>
    <w:rsid w:val="006A21CA"/>
    <w:rsid w:val="006A6C0E"/>
    <w:rsid w:val="006C3F05"/>
    <w:rsid w:val="006E39B1"/>
    <w:rsid w:val="006E414E"/>
    <w:rsid w:val="006F76B6"/>
    <w:rsid w:val="00761BAF"/>
    <w:rsid w:val="00793607"/>
    <w:rsid w:val="007959C2"/>
    <w:rsid w:val="007A267B"/>
    <w:rsid w:val="007F3C06"/>
    <w:rsid w:val="008451D9"/>
    <w:rsid w:val="008963D1"/>
    <w:rsid w:val="008A20A2"/>
    <w:rsid w:val="008C078C"/>
    <w:rsid w:val="008D09AE"/>
    <w:rsid w:val="008E2089"/>
    <w:rsid w:val="00901F8D"/>
    <w:rsid w:val="0091265D"/>
    <w:rsid w:val="0094687B"/>
    <w:rsid w:val="00960939"/>
    <w:rsid w:val="00983EB6"/>
    <w:rsid w:val="00993403"/>
    <w:rsid w:val="00993D32"/>
    <w:rsid w:val="009B2C37"/>
    <w:rsid w:val="009D42D9"/>
    <w:rsid w:val="009F063F"/>
    <w:rsid w:val="00A4354A"/>
    <w:rsid w:val="00A4468F"/>
    <w:rsid w:val="00AA22DC"/>
    <w:rsid w:val="00AB54C8"/>
    <w:rsid w:val="00AC7461"/>
    <w:rsid w:val="00AF381E"/>
    <w:rsid w:val="00B07B99"/>
    <w:rsid w:val="00B11D27"/>
    <w:rsid w:val="00B4057E"/>
    <w:rsid w:val="00B63EB0"/>
    <w:rsid w:val="00B6683F"/>
    <w:rsid w:val="00B91AF6"/>
    <w:rsid w:val="00B93525"/>
    <w:rsid w:val="00B9369B"/>
    <w:rsid w:val="00B954C2"/>
    <w:rsid w:val="00BA321D"/>
    <w:rsid w:val="00BC0BE6"/>
    <w:rsid w:val="00BC369A"/>
    <w:rsid w:val="00BD145D"/>
    <w:rsid w:val="00BE3CF8"/>
    <w:rsid w:val="00BF4A3A"/>
    <w:rsid w:val="00C0681C"/>
    <w:rsid w:val="00C137D9"/>
    <w:rsid w:val="00C25257"/>
    <w:rsid w:val="00C35532"/>
    <w:rsid w:val="00C60D79"/>
    <w:rsid w:val="00C92773"/>
    <w:rsid w:val="00CB6AC1"/>
    <w:rsid w:val="00CD10F2"/>
    <w:rsid w:val="00CD2BF0"/>
    <w:rsid w:val="00CE3816"/>
    <w:rsid w:val="00D10E7A"/>
    <w:rsid w:val="00D127D9"/>
    <w:rsid w:val="00D2115A"/>
    <w:rsid w:val="00D27845"/>
    <w:rsid w:val="00D808A8"/>
    <w:rsid w:val="00D8293A"/>
    <w:rsid w:val="00D8305C"/>
    <w:rsid w:val="00D84CE2"/>
    <w:rsid w:val="00D854CF"/>
    <w:rsid w:val="00DA1F9A"/>
    <w:rsid w:val="00DB4C63"/>
    <w:rsid w:val="00DC7621"/>
    <w:rsid w:val="00E5594F"/>
    <w:rsid w:val="00E64A5D"/>
    <w:rsid w:val="00E779A0"/>
    <w:rsid w:val="00E85C82"/>
    <w:rsid w:val="00E877EC"/>
    <w:rsid w:val="00EA7916"/>
    <w:rsid w:val="00F07447"/>
    <w:rsid w:val="00FB618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633955BA-DDD8-49DB-B7A5-A1263B81E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nil"/>
        <w:left w:val="nil"/>
        <w:bottom w:val="nil"/>
        <w:right w:val="nil"/>
        <w:between w:val="nil"/>
      </w:pBdr>
    </w:pPr>
    <w:rPr>
      <w:sz w:val="22"/>
      <w:szCs w:val="22"/>
      <w:lang w:eastAsia="en-US" w:bidi="en-US"/>
    </w:rPr>
  </w:style>
  <w:style w:type="paragraph" w:styleId="Heading1">
    <w:name w:val="heading 1"/>
    <w:link w:val="1"/>
    <w:uiPriority w:val="9"/>
    <w:qFormat/>
    <w:pPr>
      <w:keepNext/>
      <w:keepLines/>
      <w:pBdr>
        <w:top w:val="nil"/>
        <w:left w:val="nil"/>
        <w:bottom w:val="nil"/>
        <w:right w:val="nil"/>
        <w:between w:val="nil"/>
      </w:pBdr>
      <w:spacing w:before="480" w:after="200"/>
      <w:outlineLvl w:val="0"/>
    </w:pPr>
    <w:rPr>
      <w:rFonts w:ascii="Arial" w:eastAsia="Arial" w:hAnsi="Arial"/>
      <w:sz w:val="40"/>
      <w:szCs w:val="40"/>
    </w:rPr>
  </w:style>
  <w:style w:type="paragraph" w:styleId="Heading2">
    <w:name w:val="heading 2"/>
    <w:link w:val="2"/>
    <w:uiPriority w:val="9"/>
    <w:unhideWhenUsed/>
    <w:qFormat/>
    <w:pPr>
      <w:keepNext/>
      <w:keepLines/>
      <w:pBdr>
        <w:top w:val="nil"/>
        <w:left w:val="nil"/>
        <w:bottom w:val="nil"/>
        <w:right w:val="nil"/>
        <w:between w:val="nil"/>
      </w:pBdr>
      <w:spacing w:before="360" w:after="200"/>
      <w:outlineLvl w:val="1"/>
    </w:pPr>
    <w:rPr>
      <w:rFonts w:ascii="Arial" w:eastAsia="Arial" w:hAnsi="Arial"/>
      <w:sz w:val="34"/>
    </w:rPr>
  </w:style>
  <w:style w:type="paragraph" w:styleId="Heading3">
    <w:name w:val="heading 3"/>
    <w:link w:val="3"/>
    <w:uiPriority w:val="9"/>
    <w:unhideWhenUsed/>
    <w:qFormat/>
    <w:pPr>
      <w:keepNext/>
      <w:keepLines/>
      <w:pBdr>
        <w:top w:val="nil"/>
        <w:left w:val="nil"/>
        <w:bottom w:val="nil"/>
        <w:right w:val="nil"/>
        <w:between w:val="nil"/>
      </w:pBdr>
      <w:spacing w:before="320" w:after="200"/>
      <w:outlineLvl w:val="2"/>
    </w:pPr>
    <w:rPr>
      <w:rFonts w:ascii="Arial" w:eastAsia="Arial" w:hAnsi="Arial"/>
      <w:sz w:val="30"/>
      <w:szCs w:val="30"/>
    </w:rPr>
  </w:style>
  <w:style w:type="paragraph" w:styleId="Heading4">
    <w:name w:val="heading 4"/>
    <w:link w:val="4"/>
    <w:uiPriority w:val="9"/>
    <w:unhideWhenUsed/>
    <w:qFormat/>
    <w:pPr>
      <w:keepNext/>
      <w:keepLines/>
      <w:pBdr>
        <w:top w:val="nil"/>
        <w:left w:val="nil"/>
        <w:bottom w:val="nil"/>
        <w:right w:val="nil"/>
        <w:between w:val="nil"/>
      </w:pBdr>
      <w:spacing w:before="320" w:after="200"/>
      <w:outlineLvl w:val="3"/>
    </w:pPr>
    <w:rPr>
      <w:rFonts w:ascii="Arial" w:eastAsia="Arial" w:hAnsi="Arial"/>
      <w:b/>
      <w:bCs/>
      <w:sz w:val="26"/>
      <w:szCs w:val="26"/>
    </w:rPr>
  </w:style>
  <w:style w:type="paragraph" w:styleId="Heading5">
    <w:name w:val="heading 5"/>
    <w:link w:val="5"/>
    <w:uiPriority w:val="9"/>
    <w:unhideWhenUsed/>
    <w:qFormat/>
    <w:pPr>
      <w:keepNext/>
      <w:keepLines/>
      <w:pBdr>
        <w:top w:val="nil"/>
        <w:left w:val="nil"/>
        <w:bottom w:val="nil"/>
        <w:right w:val="nil"/>
        <w:between w:val="nil"/>
      </w:pBdr>
      <w:spacing w:before="320" w:after="200"/>
      <w:outlineLvl w:val="4"/>
    </w:pPr>
    <w:rPr>
      <w:rFonts w:ascii="Arial" w:eastAsia="Arial" w:hAnsi="Arial"/>
      <w:b/>
      <w:bCs/>
      <w:sz w:val="24"/>
      <w:szCs w:val="24"/>
    </w:rPr>
  </w:style>
  <w:style w:type="paragraph" w:styleId="Heading6">
    <w:name w:val="heading 6"/>
    <w:link w:val="6"/>
    <w:uiPriority w:val="9"/>
    <w:unhideWhenUsed/>
    <w:qFormat/>
    <w:pPr>
      <w:keepNext/>
      <w:keepLines/>
      <w:pBdr>
        <w:top w:val="nil"/>
        <w:left w:val="nil"/>
        <w:bottom w:val="nil"/>
        <w:right w:val="nil"/>
        <w:between w:val="nil"/>
      </w:pBdr>
      <w:spacing w:before="320" w:after="200"/>
      <w:outlineLvl w:val="5"/>
    </w:pPr>
    <w:rPr>
      <w:rFonts w:ascii="Arial" w:eastAsia="Arial" w:hAnsi="Arial"/>
      <w:b/>
      <w:bCs/>
      <w:sz w:val="22"/>
      <w:szCs w:val="22"/>
    </w:rPr>
  </w:style>
  <w:style w:type="paragraph" w:styleId="Heading7">
    <w:name w:val="heading 7"/>
    <w:link w:val="7"/>
    <w:uiPriority w:val="9"/>
    <w:unhideWhenUsed/>
    <w:qFormat/>
    <w:pPr>
      <w:keepNext/>
      <w:keepLines/>
      <w:pBdr>
        <w:top w:val="nil"/>
        <w:left w:val="nil"/>
        <w:bottom w:val="nil"/>
        <w:right w:val="nil"/>
        <w:between w:val="nil"/>
      </w:pBdr>
      <w:spacing w:before="320" w:after="200"/>
      <w:outlineLvl w:val="6"/>
    </w:pPr>
    <w:rPr>
      <w:rFonts w:ascii="Arial" w:eastAsia="Arial" w:hAnsi="Arial"/>
      <w:b/>
      <w:bCs/>
      <w:i/>
      <w:iCs/>
      <w:sz w:val="22"/>
      <w:szCs w:val="22"/>
    </w:rPr>
  </w:style>
  <w:style w:type="paragraph" w:styleId="Heading8">
    <w:name w:val="heading 8"/>
    <w:link w:val="8"/>
    <w:uiPriority w:val="9"/>
    <w:unhideWhenUsed/>
    <w:qFormat/>
    <w:pPr>
      <w:keepNext/>
      <w:keepLines/>
      <w:pBdr>
        <w:top w:val="nil"/>
        <w:left w:val="nil"/>
        <w:bottom w:val="nil"/>
        <w:right w:val="nil"/>
        <w:between w:val="nil"/>
      </w:pBdr>
      <w:spacing w:before="320" w:after="200"/>
      <w:outlineLvl w:val="7"/>
    </w:pPr>
    <w:rPr>
      <w:rFonts w:ascii="Arial" w:eastAsia="Arial" w:hAnsi="Arial"/>
      <w:i/>
      <w:iCs/>
      <w:sz w:val="22"/>
      <w:szCs w:val="22"/>
    </w:rPr>
  </w:style>
  <w:style w:type="paragraph" w:styleId="Heading9">
    <w:name w:val="heading 9"/>
    <w:link w:val="9"/>
    <w:uiPriority w:val="9"/>
    <w:unhideWhenUsed/>
    <w:qFormat/>
    <w:pPr>
      <w:keepNext/>
      <w:keepLines/>
      <w:pBdr>
        <w:top w:val="nil"/>
        <w:left w:val="nil"/>
        <w:bottom w:val="nil"/>
        <w:right w:val="nil"/>
        <w:between w:val="nil"/>
      </w:pBdr>
      <w:spacing w:before="320" w:after="200"/>
      <w:outlineLvl w:val="8"/>
    </w:pPr>
    <w:rPr>
      <w:rFonts w:ascii="Arial" w:eastAsia="Arial" w:hAnsi="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character" w:customStyle="1" w:styleId="CaptionChar">
    <w:name w:val="Caption Char"/>
    <w:uiPriority w:val="99"/>
  </w:style>
  <w:style w:type="table" w:customStyle="1" w:styleId="11">
    <w:name w:val="Таблица простая 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hemeColor="text1" w:themeTint="0D"/>
      </w:tcPr>
    </w:tblStylePr>
    <w:tblStylePr w:type="band1Horz">
      <w:tblPr/>
      <w:tcPr>
        <w:shd w:val="clear" w:color="F2F2F2" w:fill="auto" w:themeColor="text1" w:themeTint="0D"/>
      </w:tcPr>
    </w:tblStylePr>
  </w:style>
  <w:style w:type="table" w:customStyle="1" w:styleId="21">
    <w:name w:val="Таблица простая 21"/>
    <w:basedOn w:val="TableNormal"/>
    <w:uiPriority w:val="59"/>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TableNormal"/>
    <w:uiPriority w:val="99"/>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41">
    <w:name w:val="Таблица простая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51">
    <w:name w:val="Таблица простая 51"/>
    <w:basedOn w:val="TableNormal"/>
    <w:uiPriority w:val="99"/>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hemeColor="text1" w:themeTint="0D"/>
      </w:tcPr>
    </w:tblStylePr>
    <w:tblStylePr w:type="band1Horz">
      <w:rPr>
        <w:rFonts w:ascii="Arial" w:hAnsi="Arial"/>
        <w:color w:val="404040"/>
        <w:sz w:val="22"/>
      </w:rPr>
      <w:tblPr/>
      <w:tcPr>
        <w:shd w:val="clear" w:color="F2F2F2" w:fill="auto" w:themeColor="text1" w:themeTint="0D"/>
      </w:tcPr>
    </w:tblStylePr>
  </w:style>
  <w:style w:type="table" w:customStyle="1" w:styleId="-11">
    <w:name w:val="Таблица-сетка 1 светлая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31">
    <w:name w:val="Таблица-сетка 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41">
    <w:name w:val="Таблица-сетка 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auto" w:themeColor="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hemeColor="text1" w:themeTint="34"/>
      </w:tcPr>
    </w:tblStylePr>
    <w:tblStylePr w:type="band1Horz">
      <w:rPr>
        <w:rFonts w:ascii="Arial" w:hAnsi="Arial"/>
        <w:color w:val="404040"/>
        <w:sz w:val="22"/>
      </w:rPr>
      <w:tblPr/>
      <w:tcPr>
        <w:shd w:val="clear" w:color="CBCBCB" w:fill="auto" w:themeColor="text1" w:themeTint="34"/>
      </w:tcPr>
    </w:tblStylePr>
  </w:style>
  <w:style w:type="table" w:customStyle="1" w:styleId="-51">
    <w:name w:val="Таблица-сетка 5 темная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fill="auto" w:themeColor="text1" w:themeTint="40"/>
    </w:tblPr>
    <w:tblStylePr w:type="firstRow">
      <w:rPr>
        <w:rFonts w:ascii="Arial" w:hAnsi="Arial"/>
        <w:b/>
        <w:color w:val="FFFFFF"/>
        <w:sz w:val="22"/>
      </w:rPr>
      <w:tblPr/>
      <w:tcPr>
        <w:shd w:val="clear" w:color="000000" w:fill="auto" w:themeColor="text1"/>
      </w:tcPr>
    </w:tblStylePr>
    <w:tblStylePr w:type="lastRow">
      <w:rPr>
        <w:rFonts w:ascii="Arial" w:hAnsi="Arial"/>
        <w:b/>
        <w:color w:val="FFFFFF"/>
        <w:sz w:val="22"/>
      </w:rPr>
      <w:tblPr/>
      <w:tcPr>
        <w:tcBorders>
          <w:top w:val="single" w:sz="4" w:space="0" w:color="FFFFFF" w:themeColor="light1"/>
        </w:tcBorders>
        <w:shd w:val="clear" w:color="000000" w:fill="auto" w:themeColor="text1"/>
      </w:tcPr>
    </w:tblStylePr>
    <w:tblStylePr w:type="firstCol">
      <w:rPr>
        <w:rFonts w:ascii="Arial" w:hAnsi="Arial"/>
        <w:b/>
        <w:color w:val="FFFFFF"/>
        <w:sz w:val="22"/>
      </w:rPr>
      <w:tblPr/>
      <w:tcPr>
        <w:shd w:val="clear" w:color="000000" w:fill="auto" w:themeColor="text1"/>
      </w:tcPr>
    </w:tblStylePr>
    <w:tblStylePr w:type="lastCol">
      <w:rPr>
        <w:rFonts w:ascii="Arial" w:hAnsi="Arial"/>
        <w:b/>
        <w:color w:val="FFFFFF"/>
        <w:sz w:val="22"/>
      </w:rPr>
      <w:tblPr/>
      <w:tcPr>
        <w:shd w:val="clear" w:color="000000" w:fill="auto" w:themeColor="text1"/>
      </w:tcPr>
    </w:tblStylePr>
    <w:tblStylePr w:type="band1Vert">
      <w:tblPr/>
      <w:tcPr>
        <w:shd w:val="clear" w:color="8A8A8A" w:fill="auto" w:themeColor="text1" w:themeTint="75"/>
      </w:tcPr>
    </w:tblStylePr>
    <w:tblStylePr w:type="band1Horz">
      <w:tblPr/>
      <w:tcPr>
        <w:shd w:val="clear" w:color="8A8A8A" w:fill="auto" w:themeColor="text1" w:themeTint="75"/>
      </w:tcPr>
    </w:tblStylePr>
  </w:style>
  <w:style w:type="table" w:customStyle="1" w:styleId="-61">
    <w:name w:val="Таблица-сетка 6 цветная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Shade="95" w:themeTint="80"/>
      </w:rPr>
      <w:tblPr/>
      <w:tcPr>
        <w:tcBorders>
          <w:bottom w:val="single" w:sz="12" w:space="0" w:color="7F7F7F" w:themeColor="text1" w:themeTint="80"/>
        </w:tcBorders>
      </w:tcPr>
    </w:tblStylePr>
    <w:tblStylePr w:type="lastRow">
      <w:rPr>
        <w:b/>
        <w:color w:val="7F7F7F" w:themeColor="text1" w:themeShade="95" w:themeTint="80"/>
      </w:rPr>
    </w:tblStylePr>
    <w:tblStylePr w:type="firstCol">
      <w:rPr>
        <w:b/>
        <w:color w:val="7F7F7F" w:themeColor="text1" w:themeShade="95" w:themeTint="80"/>
      </w:rPr>
    </w:tblStylePr>
    <w:tblStylePr w:type="lastCol">
      <w:rPr>
        <w:b/>
        <w:color w:val="7F7F7F" w:themeColor="text1" w:themeShade="95" w:themeTint="80"/>
      </w:rPr>
    </w:tblStylePr>
    <w:tblStylePr w:type="band1Vert">
      <w:tblPr/>
      <w:tcPr>
        <w:shd w:val="clear" w:color="CBCBCB" w:fill="auto" w:themeColor="text1" w:themeTint="34"/>
      </w:tcPr>
    </w:tblStylePr>
    <w:tblStylePr w:type="band1Horz">
      <w:rPr>
        <w:rFonts w:ascii="Arial" w:hAnsi="Arial"/>
        <w:color w:val="7F7F7F" w:themeColor="text1" w:themeShade="95" w:themeTint="80"/>
        <w:sz w:val="22"/>
      </w:rPr>
      <w:tblPr/>
      <w:tcPr>
        <w:shd w:val="clear" w:color="CBCBCB" w:fill="auto" w:themeColor="text1" w:themeTint="34"/>
      </w:tcPr>
    </w:tblStylePr>
    <w:tblStylePr w:type="band2Horz">
      <w:rPr>
        <w:rFonts w:ascii="Arial" w:hAnsi="Arial"/>
        <w:color w:val="7F7F7F" w:themeColor="text1" w:themeShade="95" w:themeTint="80"/>
        <w:sz w:val="22"/>
      </w:rPr>
    </w:tblStylePr>
  </w:style>
  <w:style w:type="table" w:customStyle="1" w:styleId="-71">
    <w:name w:val="Таблица-сетка 7 цветная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b/>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fill="auto" w:themeColor="text1" w:themeTint="0D"/>
      </w:tcPr>
    </w:tblStylePr>
    <w:tblStylePr w:type="band1Horz">
      <w:rPr>
        <w:rFonts w:ascii="Arial" w:hAnsi="Arial"/>
        <w:color w:val="7F7F7F" w:themeColor="text1" w:themeShade="95" w:themeTint="80"/>
        <w:sz w:val="22"/>
      </w:rPr>
      <w:tblPr/>
      <w:tcPr>
        <w:shd w:val="clear" w:color="F2F2F2" w:fill="auto" w:themeColor="text1" w:themeTint="0D"/>
      </w:tcPr>
    </w:tblStylePr>
    <w:tblStylePr w:type="band2Horz">
      <w:rPr>
        <w:rFonts w:ascii="Arial" w:hAnsi="Arial"/>
        <w:color w:val="7F7F7F" w:themeColor="text1" w:themeShade="95" w:themeTint="80"/>
        <w:sz w:val="22"/>
      </w:rPr>
    </w:tblStylePr>
  </w:style>
  <w:style w:type="table" w:customStyle="1" w:styleId="-110">
    <w:name w:val="Список-таблица 1 светлая1"/>
    <w:basedOn w:val="TableNormal"/>
    <w:uiPriority w:val="99"/>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hemeColor="text1" w:themeTint="40"/>
      </w:tcPr>
    </w:tblStylePr>
    <w:tblStylePr w:type="band1Horz">
      <w:tblPr/>
      <w:tcPr>
        <w:shd w:val="clear" w:color="BFBFBF" w:fill="auto" w:themeColor="text1" w:themeTint="40"/>
      </w:tcPr>
    </w:tblStylePr>
  </w:style>
  <w:style w:type="table" w:customStyle="1" w:styleId="-210">
    <w:name w:val="Список-таблица 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310">
    <w:name w:val="Список-таблица 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auto" w:themeColor="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hemeColor="text1" w:themeTint="40"/>
      </w:tcPr>
    </w:tblStylePr>
    <w:tblStylePr w:type="band1Horz">
      <w:rPr>
        <w:rFonts w:ascii="Arial" w:hAnsi="Arial"/>
        <w:color w:val="404040"/>
        <w:sz w:val="22"/>
      </w:rPr>
      <w:tblPr/>
      <w:tcPr>
        <w:shd w:val="clear" w:color="BFBFBF" w:fill="auto" w:themeColor="text1" w:themeTint="40"/>
      </w:tcPr>
    </w:tblStylePr>
  </w:style>
  <w:style w:type="table" w:customStyle="1" w:styleId="-510">
    <w:name w:val="Список-таблица 5 темная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fill="auto" w:themeColor="text1" w:theme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fill="auto" w:themeColor="text1" w:theme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fill="auto" w:themeColor="text1" w:theme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auto" w:themeColor="text1" w:themeTint="80"/>
      </w:tcPr>
    </w:tblStylePr>
    <w:tblStylePr w:type="band2Horz">
      <w:tblPr/>
      <w:tcPr>
        <w:tcBorders>
          <w:top w:val="single" w:sz="4" w:space="0" w:color="FFFFFF" w:themeColor="light1"/>
          <w:bottom w:val="single" w:sz="4" w:space="0" w:color="FFFFFF" w:themeColor="light1"/>
        </w:tcBorders>
        <w:shd w:val="clear" w:color="7F7F7F" w:fill="auto" w:themeColor="text1" w:themeTint="80"/>
      </w:tcPr>
    </w:tblStylePr>
  </w:style>
  <w:style w:type="table" w:customStyle="1" w:styleId="-610">
    <w:name w:val="Список-таблица 6 цветная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fill="auto" w:themeColor="text1" w:themeTint="40"/>
      </w:tcPr>
    </w:tblStylePr>
    <w:tblStylePr w:type="band1Horz">
      <w:rPr>
        <w:rFonts w:ascii="Arial" w:hAnsi="Arial"/>
        <w:color w:val="000000" w:themeColor="text1"/>
        <w:sz w:val="22"/>
      </w:rPr>
      <w:tblPr/>
      <w:tcPr>
        <w:shd w:val="clear" w:color="BFBFBF" w:fill="auto" w:themeColor="text1" w:themeTint="40"/>
      </w:tcPr>
    </w:tblStylePr>
    <w:tblStylePr w:type="band2Horz">
      <w:rPr>
        <w:rFonts w:ascii="Arial" w:hAnsi="Arial"/>
        <w:color w:val="000000" w:themeColor="text1"/>
        <w:sz w:val="22"/>
      </w:rPr>
    </w:tblStylePr>
  </w:style>
  <w:style w:type="table" w:customStyle="1" w:styleId="-710">
    <w:name w:val="Список-таблица 7 цветная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Shade="95" w:themeTint="80"/>
        <w:sz w:val="22"/>
      </w:rPr>
      <w:tblPr/>
      <w:tcPr>
        <w:tcBorders>
          <w:top w:val="nil"/>
          <w:left w:val="nil"/>
          <w:bottom w:val="single" w:sz="4" w:space="0" w:color="7F7F7F" w:themeColor="text1" w:themeTint="80"/>
          <w:right w:val="nil"/>
        </w:tcBorders>
        <w:shd w:val="clear" w:color="FFFFFF" w:fill="auto" w:themeColor="light1"/>
      </w:tcPr>
    </w:tblStylePr>
    <w:tblStylePr w:type="lastRow">
      <w:rPr>
        <w:rFonts w:ascii="Arial" w:hAnsi="Arial"/>
        <w:i/>
        <w:color w:val="7F7F7F" w:themeColor="text1" w:themeShade="95" w:themeTint="80"/>
        <w:sz w:val="22"/>
      </w:rPr>
      <w:tblPr/>
      <w:tcPr>
        <w:tcBorders>
          <w:top w:val="single" w:sz="4" w:space="0" w:color="7F7F7F" w:themeColor="text1" w:themeTint="80"/>
          <w:left w:val="nil"/>
          <w:bottom w:val="nil"/>
          <w:right w:val="nil"/>
        </w:tcBorders>
        <w:shd w:val="clear" w:color="FFFFFF" w:fill="auto" w:themeColor="light1"/>
      </w:tcPr>
    </w:tblStylePr>
    <w:tblStylePr w:type="firstCol">
      <w:pPr>
        <w:jc w:val="right"/>
      </w:pPr>
      <w:rPr>
        <w:rFonts w:ascii="Arial" w:hAnsi="Arial"/>
        <w:i/>
        <w:color w:val="7F7F7F" w:themeColor="text1" w:themeShade="95"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Shade="95"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fill="auto" w:themeColor="text1" w:themeTint="40"/>
      </w:tcPr>
    </w:tblStylePr>
    <w:tblStylePr w:type="band1Horz">
      <w:rPr>
        <w:rFonts w:ascii="Arial" w:hAnsi="Arial"/>
        <w:color w:val="7F7F7F" w:themeColor="text1" w:themeShade="95" w:themeTint="80"/>
        <w:sz w:val="22"/>
      </w:rPr>
      <w:tblPr/>
      <w:tcPr>
        <w:shd w:val="clear" w:color="BFBFBF" w:fill="auto" w:themeColor="text1" w:themeTint="40"/>
      </w:tcPr>
    </w:tblStylePr>
    <w:tblStylePr w:type="band2Horz">
      <w:rPr>
        <w:rFonts w:ascii="Arial" w:hAnsi="Arial"/>
        <w:color w:val="7F7F7F" w:themeColor="text1" w:themeShade="95" w:themeTint="80"/>
        <w:sz w:val="22"/>
      </w:rPr>
    </w:tblStylePr>
  </w:style>
  <w:style w:type="character" w:customStyle="1" w:styleId="FootnoteTextChar">
    <w:name w:val="Footnote Text Char"/>
    <w:uiPriority w:val="99"/>
    <w:rPr>
      <w:sz w:val="18"/>
    </w:rPr>
  </w:style>
  <w:style w:type="paragraph" w:styleId="EndnoteText">
    <w:name w:val="endnote text"/>
    <w:basedOn w:val="Normal"/>
    <w:link w:val="a"/>
    <w:uiPriority w:val="99"/>
    <w:semiHidden/>
    <w:unhideWhenUsed/>
    <w:rPr>
      <w:sz w:val="20"/>
    </w:rPr>
  </w:style>
  <w:style w:type="character" w:customStyle="1" w:styleId="a">
    <w:name w:val="Текст концевой сноски Знак"/>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ableofFigures">
    <w:name w:val="table of figures"/>
    <w:basedOn w:val="Normal"/>
    <w:next w:val="Normal"/>
    <w:uiPriority w:val="99"/>
    <w:unhideWhenUsed/>
  </w:style>
  <w:style w:type="character" w:customStyle="1" w:styleId="1">
    <w:name w:val="Заголовок 1 Знак"/>
    <w:link w:val="Heading1"/>
    <w:uiPriority w:val="9"/>
    <w:rPr>
      <w:rFonts w:ascii="Arial" w:eastAsia="Arial" w:hAnsi="Arial"/>
      <w:sz w:val="40"/>
      <w:szCs w:val="40"/>
      <w:lang w:bidi="ar-SA"/>
    </w:rPr>
  </w:style>
  <w:style w:type="character" w:customStyle="1" w:styleId="2">
    <w:name w:val="Заголовок 2 Знак"/>
    <w:link w:val="Heading2"/>
    <w:uiPriority w:val="9"/>
    <w:rPr>
      <w:rFonts w:ascii="Arial" w:eastAsia="Arial" w:hAnsi="Arial"/>
      <w:sz w:val="34"/>
      <w:lang w:bidi="ar-SA"/>
    </w:rPr>
  </w:style>
  <w:style w:type="character" w:customStyle="1" w:styleId="3">
    <w:name w:val="Заголовок 3 Знак"/>
    <w:link w:val="Heading3"/>
    <w:uiPriority w:val="9"/>
    <w:rPr>
      <w:rFonts w:ascii="Arial" w:eastAsia="Arial" w:hAnsi="Arial"/>
      <w:sz w:val="30"/>
      <w:szCs w:val="30"/>
      <w:lang w:bidi="ar-SA"/>
    </w:rPr>
  </w:style>
  <w:style w:type="character" w:customStyle="1" w:styleId="4">
    <w:name w:val="Заголовок 4 Знак"/>
    <w:link w:val="Heading4"/>
    <w:uiPriority w:val="9"/>
    <w:rPr>
      <w:rFonts w:ascii="Arial" w:eastAsia="Arial" w:hAnsi="Arial"/>
      <w:b/>
      <w:bCs/>
      <w:sz w:val="26"/>
      <w:szCs w:val="26"/>
      <w:lang w:bidi="ar-SA"/>
    </w:rPr>
  </w:style>
  <w:style w:type="character" w:customStyle="1" w:styleId="5">
    <w:name w:val="Заголовок 5 Знак"/>
    <w:link w:val="Heading5"/>
    <w:uiPriority w:val="9"/>
    <w:rPr>
      <w:rFonts w:ascii="Arial" w:eastAsia="Arial" w:hAnsi="Arial"/>
      <w:b/>
      <w:bCs/>
      <w:sz w:val="24"/>
      <w:szCs w:val="24"/>
      <w:lang w:bidi="ar-SA"/>
    </w:rPr>
  </w:style>
  <w:style w:type="character" w:customStyle="1" w:styleId="6">
    <w:name w:val="Заголовок 6 Знак"/>
    <w:link w:val="Heading6"/>
    <w:uiPriority w:val="9"/>
    <w:rPr>
      <w:rFonts w:ascii="Arial" w:eastAsia="Arial" w:hAnsi="Arial"/>
      <w:b/>
      <w:bCs/>
      <w:sz w:val="22"/>
      <w:szCs w:val="22"/>
      <w:lang w:bidi="ar-SA"/>
    </w:rPr>
  </w:style>
  <w:style w:type="character" w:customStyle="1" w:styleId="7">
    <w:name w:val="Заголовок 7 Знак"/>
    <w:link w:val="Heading7"/>
    <w:uiPriority w:val="9"/>
    <w:rPr>
      <w:rFonts w:ascii="Arial" w:eastAsia="Arial" w:hAnsi="Arial"/>
      <w:b/>
      <w:bCs/>
      <w:i/>
      <w:iCs/>
      <w:sz w:val="22"/>
      <w:szCs w:val="22"/>
      <w:lang w:bidi="ar-SA"/>
    </w:rPr>
  </w:style>
  <w:style w:type="character" w:customStyle="1" w:styleId="8">
    <w:name w:val="Заголовок 8 Знак"/>
    <w:link w:val="Heading8"/>
    <w:uiPriority w:val="9"/>
    <w:rPr>
      <w:rFonts w:ascii="Arial" w:eastAsia="Arial" w:hAnsi="Arial"/>
      <w:i/>
      <w:iCs/>
      <w:sz w:val="22"/>
      <w:szCs w:val="22"/>
      <w:lang w:bidi="ar-SA"/>
    </w:rPr>
  </w:style>
  <w:style w:type="character" w:customStyle="1" w:styleId="9">
    <w:name w:val="Заголовок 9 Знак"/>
    <w:link w:val="Heading9"/>
    <w:uiPriority w:val="9"/>
    <w:rPr>
      <w:rFonts w:ascii="Arial" w:eastAsia="Arial" w:hAnsi="Arial"/>
      <w:i/>
      <w:iCs/>
      <w:sz w:val="21"/>
      <w:szCs w:val="21"/>
      <w:lang w:bidi="ar-SA"/>
    </w:rPr>
  </w:style>
  <w:style w:type="paragraph" w:styleId="ListParagraph">
    <w:name w:val="List Paragraph"/>
    <w:uiPriority w:val="34"/>
    <w:qFormat/>
    <w:pPr>
      <w:pBdr>
        <w:top w:val="nil"/>
        <w:left w:val="nil"/>
        <w:bottom w:val="nil"/>
        <w:right w:val="nil"/>
        <w:between w:val="nil"/>
      </w:pBdr>
      <w:ind w:left="720"/>
      <w:contextualSpacing/>
    </w:pPr>
    <w:rPr>
      <w:sz w:val="22"/>
      <w:szCs w:val="22"/>
      <w:lang w:eastAsia="en-US" w:bidi="en-US"/>
    </w:rPr>
  </w:style>
  <w:style w:type="paragraph" w:styleId="NoSpacing">
    <w:name w:val="No Spacing"/>
    <w:uiPriority w:val="1"/>
    <w:qFormat/>
    <w:pPr>
      <w:pBdr>
        <w:top w:val="nil"/>
        <w:left w:val="nil"/>
        <w:bottom w:val="nil"/>
        <w:right w:val="nil"/>
        <w:between w:val="nil"/>
      </w:pBdr>
    </w:pPr>
    <w:rPr>
      <w:sz w:val="22"/>
      <w:szCs w:val="22"/>
      <w:lang w:eastAsia="en-US" w:bidi="en-US"/>
    </w:rPr>
  </w:style>
  <w:style w:type="paragraph" w:styleId="Title">
    <w:name w:val="Title"/>
    <w:link w:val="a0"/>
    <w:uiPriority w:val="10"/>
    <w:qFormat/>
    <w:pPr>
      <w:pBdr>
        <w:top w:val="nil"/>
        <w:left w:val="nil"/>
        <w:bottom w:val="nil"/>
        <w:right w:val="nil"/>
        <w:between w:val="nil"/>
      </w:pBdr>
      <w:spacing w:before="300" w:after="200"/>
      <w:contextualSpacing/>
    </w:pPr>
    <w:rPr>
      <w:sz w:val="48"/>
      <w:szCs w:val="48"/>
    </w:rPr>
  </w:style>
  <w:style w:type="character" w:customStyle="1" w:styleId="a0">
    <w:name w:val="Название Знак"/>
    <w:link w:val="Title"/>
    <w:uiPriority w:val="10"/>
    <w:rPr>
      <w:sz w:val="48"/>
      <w:szCs w:val="48"/>
      <w:lang w:bidi="ar-SA"/>
    </w:rPr>
  </w:style>
  <w:style w:type="paragraph" w:styleId="Subtitle">
    <w:name w:val="Subtitle"/>
    <w:link w:val="a1"/>
    <w:uiPriority w:val="11"/>
    <w:qFormat/>
    <w:pPr>
      <w:pBdr>
        <w:top w:val="nil"/>
        <w:left w:val="nil"/>
        <w:bottom w:val="nil"/>
        <w:right w:val="nil"/>
        <w:between w:val="nil"/>
      </w:pBdr>
      <w:spacing w:before="200" w:after="200"/>
    </w:pPr>
    <w:rPr>
      <w:sz w:val="24"/>
      <w:szCs w:val="24"/>
    </w:rPr>
  </w:style>
  <w:style w:type="character" w:customStyle="1" w:styleId="a1">
    <w:name w:val="Подзаголовок Знак"/>
    <w:link w:val="Subtitle"/>
    <w:uiPriority w:val="11"/>
    <w:rPr>
      <w:sz w:val="24"/>
      <w:szCs w:val="24"/>
      <w:lang w:bidi="ar-SA"/>
    </w:rPr>
  </w:style>
  <w:style w:type="paragraph" w:styleId="Quote">
    <w:name w:val="Quote"/>
    <w:link w:val="20"/>
    <w:uiPriority w:val="29"/>
    <w:qFormat/>
    <w:pPr>
      <w:pBdr>
        <w:top w:val="nil"/>
        <w:left w:val="nil"/>
        <w:bottom w:val="nil"/>
        <w:right w:val="nil"/>
        <w:between w:val="nil"/>
      </w:pBdr>
      <w:ind w:left="720" w:right="720"/>
    </w:pPr>
    <w:rPr>
      <w:i/>
    </w:rPr>
  </w:style>
  <w:style w:type="character" w:customStyle="1" w:styleId="20">
    <w:name w:val="Цитата 2 Знак"/>
    <w:link w:val="Quote"/>
    <w:uiPriority w:val="29"/>
    <w:rPr>
      <w:i/>
      <w:lang w:val="ru-RU" w:eastAsia="ru-RU" w:bidi="ar-SA"/>
    </w:rPr>
  </w:style>
  <w:style w:type="paragraph" w:styleId="IntenseQuote">
    <w:name w:val="Intense Quote"/>
    <w:link w:val="a2"/>
    <w:uiPriority w:val="30"/>
    <w:qFormat/>
    <w:pPr>
      <w:pBdr>
        <w:top w:val="single" w:sz="4" w:space="5" w:color="FFFFFF"/>
        <w:left w:val="single" w:sz="4" w:space="10" w:color="FFFFFF"/>
        <w:bottom w:val="single" w:sz="4" w:space="5" w:color="FFFFFF"/>
        <w:right w:val="single" w:sz="4" w:space="10" w:color="FFFFFF"/>
        <w:between w:val="nil"/>
      </w:pBdr>
      <w:shd w:val="clear" w:color="auto" w:fill="F2F2F2"/>
      <w:ind w:left="720" w:right="720"/>
    </w:pPr>
    <w:rPr>
      <w:i/>
    </w:rPr>
  </w:style>
  <w:style w:type="character" w:customStyle="1" w:styleId="a2">
    <w:name w:val="Выделенная цитата Знак"/>
    <w:link w:val="IntenseQuote"/>
    <w:uiPriority w:val="30"/>
    <w:rPr>
      <w:i/>
      <w:shd w:val="clear" w:color="auto" w:fill="F2F2F2"/>
      <w:lang w:val="ru-RU" w:eastAsia="ru-RU" w:bidi="ar-SA"/>
    </w:rPr>
  </w:style>
  <w:style w:type="paragraph" w:styleId="Header">
    <w:name w:val="header"/>
    <w:basedOn w:val="Normal"/>
    <w:link w:val="a3"/>
    <w:uiPriority w:val="99"/>
    <w:pPr>
      <w:tabs>
        <w:tab w:val="center" w:pos="4153"/>
        <w:tab w:val="right" w:pos="8306"/>
      </w:tabs>
      <w:spacing w:before="120" w:after="240"/>
      <w:jc w:val="center"/>
    </w:pPr>
    <w:rPr>
      <w:b/>
      <w:caps/>
      <w:sz w:val="28"/>
    </w:rPr>
  </w:style>
  <w:style w:type="character" w:customStyle="1" w:styleId="a3">
    <w:name w:val="Верхний колонтитул Знак"/>
    <w:link w:val="Header"/>
    <w:uiPriority w:val="99"/>
  </w:style>
  <w:style w:type="paragraph" w:styleId="Footer">
    <w:name w:val="footer"/>
    <w:basedOn w:val="Normal"/>
    <w:link w:val="a4"/>
    <w:uiPriority w:val="99"/>
    <w:pPr>
      <w:tabs>
        <w:tab w:val="center" w:pos="4153"/>
        <w:tab w:val="right" w:pos="8306"/>
      </w:tabs>
    </w:pPr>
  </w:style>
  <w:style w:type="character" w:customStyle="1" w:styleId="a4">
    <w:name w:val="Нижний колонтитул Знак"/>
    <w:link w:val="Footer"/>
    <w:uiPriority w:val="99"/>
  </w:style>
  <w:style w:type="table" w:styleId="TableGrid">
    <w:name w:val="Table Grid"/>
    <w:uiPriority w:val="59"/>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_0"/>
    <w:uiPriority w:val="59"/>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_0"/>
    <w:uiPriority w:val="59"/>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00">
    <w:name w:val="Таблица-сетка 1 светл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00">
    <w:name w:val="Таблица-сетка 2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00">
    <w:name w:val="Таблица-сетка 3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00">
    <w:name w:val="Таблица-сетка 41_0"/>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00">
    <w:name w:val="Таблица-сетка 5 тем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00">
    <w:name w:val="Таблица-сетка 6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00">
    <w:name w:val="Таблица-сетка 7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1">
    <w:name w:val="Список-таблица 1 светлая1_0"/>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1">
    <w:name w:val="Список-таблица 2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1">
    <w:name w:val="Список-таблица 3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1">
    <w:name w:val="Список-таблица 4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1">
    <w:name w:val="Список-таблица 5 тем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1">
    <w:name w:val="Список-таблица 6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1">
    <w:name w:val="Список-таблица 7 цветная1_0"/>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Hyperlink">
    <w:name w:val="Hyperlink"/>
    <w:uiPriority w:val="99"/>
    <w:unhideWhenUsed/>
    <w:rPr>
      <w:color w:val="0000FF"/>
      <w:u w:val="single"/>
    </w:rPr>
  </w:style>
  <w:style w:type="paragraph" w:styleId="FootnoteText">
    <w:name w:val="footnote text"/>
    <w:link w:val="a5"/>
    <w:uiPriority w:val="99"/>
    <w:semiHidden/>
    <w:unhideWhenUsed/>
    <w:pPr>
      <w:pBdr>
        <w:top w:val="nil"/>
        <w:left w:val="nil"/>
        <w:bottom w:val="nil"/>
        <w:right w:val="nil"/>
        <w:between w:val="nil"/>
      </w:pBdr>
      <w:spacing w:after="40"/>
    </w:pPr>
    <w:rPr>
      <w:sz w:val="18"/>
    </w:rPr>
  </w:style>
  <w:style w:type="character" w:customStyle="1" w:styleId="a5">
    <w:name w:val="Текст сноски Знак"/>
    <w:link w:val="FootnoteText"/>
    <w:uiPriority w:val="99"/>
    <w:semiHidden/>
    <w:rPr>
      <w:sz w:val="18"/>
      <w:lang w:bidi="ar-SA"/>
    </w:rPr>
  </w:style>
  <w:style w:type="character" w:styleId="FootnoteReference">
    <w:name w:val="footnote reference"/>
    <w:uiPriority w:val="99"/>
    <w:unhideWhenUsed/>
    <w:rPr>
      <w:vertAlign w:val="superscript"/>
    </w:rPr>
  </w:style>
  <w:style w:type="paragraph" w:styleId="TOC1">
    <w:name w:val="toc 1"/>
    <w:uiPriority w:val="39"/>
    <w:unhideWhenUsed/>
    <w:pPr>
      <w:pBdr>
        <w:top w:val="nil"/>
        <w:left w:val="nil"/>
        <w:bottom w:val="nil"/>
        <w:right w:val="nil"/>
        <w:between w:val="nil"/>
      </w:pBdr>
      <w:spacing w:after="57"/>
    </w:pPr>
    <w:rPr>
      <w:sz w:val="22"/>
      <w:szCs w:val="22"/>
      <w:lang w:eastAsia="en-US" w:bidi="en-US"/>
    </w:rPr>
  </w:style>
  <w:style w:type="paragraph" w:styleId="TOC2">
    <w:name w:val="toc 2"/>
    <w:uiPriority w:val="39"/>
    <w:unhideWhenUsed/>
    <w:pPr>
      <w:pBdr>
        <w:top w:val="nil"/>
        <w:left w:val="nil"/>
        <w:bottom w:val="nil"/>
        <w:right w:val="nil"/>
        <w:between w:val="nil"/>
      </w:pBdr>
      <w:spacing w:after="57"/>
      <w:ind w:left="283"/>
    </w:pPr>
    <w:rPr>
      <w:sz w:val="22"/>
      <w:szCs w:val="22"/>
      <w:lang w:eastAsia="en-US" w:bidi="en-US"/>
    </w:rPr>
  </w:style>
  <w:style w:type="paragraph" w:styleId="TOC3">
    <w:name w:val="toc 3"/>
    <w:uiPriority w:val="39"/>
    <w:unhideWhenUsed/>
    <w:pPr>
      <w:pBdr>
        <w:top w:val="nil"/>
        <w:left w:val="nil"/>
        <w:bottom w:val="nil"/>
        <w:right w:val="nil"/>
        <w:between w:val="nil"/>
      </w:pBdr>
      <w:spacing w:after="57"/>
      <w:ind w:left="567"/>
    </w:pPr>
    <w:rPr>
      <w:sz w:val="22"/>
      <w:szCs w:val="22"/>
      <w:lang w:eastAsia="en-US" w:bidi="en-US"/>
    </w:rPr>
  </w:style>
  <w:style w:type="paragraph" w:styleId="TOC4">
    <w:name w:val="toc 4"/>
    <w:uiPriority w:val="39"/>
    <w:unhideWhenUsed/>
    <w:pPr>
      <w:pBdr>
        <w:top w:val="nil"/>
        <w:left w:val="nil"/>
        <w:bottom w:val="nil"/>
        <w:right w:val="nil"/>
        <w:between w:val="nil"/>
      </w:pBdr>
      <w:spacing w:after="57"/>
      <w:ind w:left="850"/>
    </w:pPr>
    <w:rPr>
      <w:sz w:val="22"/>
      <w:szCs w:val="22"/>
      <w:lang w:eastAsia="en-US" w:bidi="en-US"/>
    </w:rPr>
  </w:style>
  <w:style w:type="paragraph" w:styleId="TOC5">
    <w:name w:val="toc 5"/>
    <w:uiPriority w:val="39"/>
    <w:unhideWhenUsed/>
    <w:pPr>
      <w:pBdr>
        <w:top w:val="nil"/>
        <w:left w:val="nil"/>
        <w:bottom w:val="nil"/>
        <w:right w:val="nil"/>
        <w:between w:val="nil"/>
      </w:pBdr>
      <w:spacing w:after="57"/>
      <w:ind w:left="1134"/>
    </w:pPr>
    <w:rPr>
      <w:sz w:val="22"/>
      <w:szCs w:val="22"/>
      <w:lang w:eastAsia="en-US" w:bidi="en-US"/>
    </w:rPr>
  </w:style>
  <w:style w:type="paragraph" w:styleId="TOC6">
    <w:name w:val="toc 6"/>
    <w:uiPriority w:val="39"/>
    <w:unhideWhenUsed/>
    <w:pPr>
      <w:pBdr>
        <w:top w:val="nil"/>
        <w:left w:val="nil"/>
        <w:bottom w:val="nil"/>
        <w:right w:val="nil"/>
        <w:between w:val="nil"/>
      </w:pBdr>
      <w:spacing w:after="57"/>
      <w:ind w:left="1417"/>
    </w:pPr>
    <w:rPr>
      <w:sz w:val="22"/>
      <w:szCs w:val="22"/>
      <w:lang w:eastAsia="en-US" w:bidi="en-US"/>
    </w:rPr>
  </w:style>
  <w:style w:type="paragraph" w:styleId="TOC7">
    <w:name w:val="toc 7"/>
    <w:uiPriority w:val="39"/>
    <w:unhideWhenUsed/>
    <w:pPr>
      <w:pBdr>
        <w:top w:val="nil"/>
        <w:left w:val="nil"/>
        <w:bottom w:val="nil"/>
        <w:right w:val="nil"/>
        <w:between w:val="nil"/>
      </w:pBdr>
      <w:spacing w:after="57"/>
      <w:ind w:left="1701"/>
    </w:pPr>
    <w:rPr>
      <w:sz w:val="22"/>
      <w:szCs w:val="22"/>
      <w:lang w:eastAsia="en-US" w:bidi="en-US"/>
    </w:rPr>
  </w:style>
  <w:style w:type="paragraph" w:styleId="TOC8">
    <w:name w:val="toc 8"/>
    <w:uiPriority w:val="39"/>
    <w:unhideWhenUsed/>
    <w:pPr>
      <w:pBdr>
        <w:top w:val="nil"/>
        <w:left w:val="nil"/>
        <w:bottom w:val="nil"/>
        <w:right w:val="nil"/>
        <w:between w:val="nil"/>
      </w:pBdr>
      <w:spacing w:after="57"/>
      <w:ind w:left="1984"/>
    </w:pPr>
    <w:rPr>
      <w:sz w:val="22"/>
      <w:szCs w:val="22"/>
      <w:lang w:eastAsia="en-US" w:bidi="en-US"/>
    </w:rPr>
  </w:style>
  <w:style w:type="paragraph" w:styleId="TOC9">
    <w:name w:val="toc 9"/>
    <w:uiPriority w:val="39"/>
    <w:unhideWhenUsed/>
    <w:pPr>
      <w:pBdr>
        <w:top w:val="nil"/>
        <w:left w:val="nil"/>
        <w:bottom w:val="nil"/>
        <w:right w:val="nil"/>
        <w:between w:val="nil"/>
      </w:pBdr>
      <w:spacing w:after="57"/>
      <w:ind w:left="2268"/>
    </w:pPr>
    <w:rPr>
      <w:sz w:val="22"/>
      <w:szCs w:val="22"/>
      <w:lang w:eastAsia="en-US" w:bidi="en-US"/>
    </w:rPr>
  </w:style>
  <w:style w:type="paragraph" w:styleId="TOCHeading">
    <w:name w:val="TOC Heading"/>
    <w:uiPriority w:val="39"/>
    <w:unhideWhenUsed/>
    <w:pPr>
      <w:pBdr>
        <w:top w:val="nil"/>
        <w:left w:val="nil"/>
        <w:bottom w:val="nil"/>
        <w:right w:val="nil"/>
        <w:between w:val="nil"/>
      </w:pBdr>
    </w:pPr>
    <w:rPr>
      <w:sz w:val="22"/>
      <w:szCs w:val="22"/>
      <w:lang w:eastAsia="en-US" w:bidi="en-US"/>
    </w:rPr>
  </w:style>
  <w:style w:type="paragraph" w:styleId="BodyText">
    <w:name w:val="Body Text"/>
    <w:basedOn w:val="Normal"/>
    <w:next w:val="Normal"/>
    <w:pPr>
      <w:jc w:val="both"/>
    </w:pPr>
  </w:style>
  <w:style w:type="character" w:styleId="PageNumber">
    <w:name w:val="page number"/>
    <w:basedOn w:val="DefaultParagraphFont"/>
  </w:style>
  <w:style w:type="paragraph" w:styleId="Caption">
    <w:name w:val="caption"/>
    <w:basedOn w:val="Normal"/>
    <w:next w:val="Normal"/>
    <w:pPr>
      <w:jc w:val="center"/>
    </w:pPr>
    <w:rPr>
      <w:b/>
      <w:sz w:val="28"/>
    </w:rPr>
  </w:style>
  <w:style w:type="paragraph" w:styleId="BodyText2">
    <w:name w:val="Body Text 2"/>
    <w:basedOn w:val="Normal"/>
    <w:pPr>
      <w:spacing w:before="120"/>
      <w:ind w:right="5102"/>
      <w:jc w:val="center"/>
    </w:pPr>
  </w:style>
  <w:style w:type="paragraph" w:customStyle="1" w:styleId="a6">
    <w:name w:val="Обращение"/>
    <w:basedOn w:val="Normal"/>
    <w:next w:val="Normal"/>
    <w:pPr>
      <w:spacing w:before="240" w:after="120"/>
      <w:jc w:val="center"/>
    </w:pPr>
    <w:rPr>
      <w:b/>
    </w:rPr>
  </w:style>
  <w:style w:type="paragraph" w:customStyle="1" w:styleId="a7">
    <w:name w:val="Адресные реквизиты"/>
    <w:basedOn w:val="BodyText"/>
    <w:next w:val="BodyText"/>
    <w:pPr>
      <w:jc w:val="left"/>
    </w:pPr>
    <w:rPr>
      <w:sz w:val="16"/>
    </w:rPr>
  </w:style>
  <w:style w:type="paragraph" w:customStyle="1" w:styleId="a8">
    <w:name w:val="Адресат"/>
    <w:basedOn w:val="Normal"/>
    <w:pPr>
      <w:spacing w:before="120"/>
    </w:pPr>
    <w:rPr>
      <w:b/>
    </w:rPr>
  </w:style>
  <w:style w:type="paragraph" w:styleId="BodyText3">
    <w:name w:val="Body Text 3"/>
    <w:basedOn w:val="Normal"/>
    <w:pPr>
      <w:tabs>
        <w:tab w:val="left" w:pos="7371"/>
      </w:tabs>
      <w:spacing w:before="120"/>
    </w:pPr>
    <w:rPr>
      <w:sz w:val="28"/>
    </w:rPr>
  </w:style>
  <w:style w:type="paragraph" w:styleId="BalloonText">
    <w:name w:val="Balloon Text"/>
    <w:basedOn w:val="Normal"/>
    <w:link w:val="a9"/>
    <w:uiPriority w:val="99"/>
    <w:semiHidden/>
    <w:unhideWhenUsed/>
    <w:rPr>
      <w:rFonts w:ascii="Tahoma" w:hAnsi="Tahoma"/>
      <w:sz w:val="16"/>
      <w:szCs w:val="16"/>
      <w:lang w:bidi="ar-SA"/>
    </w:rPr>
  </w:style>
  <w:style w:type="character" w:customStyle="1" w:styleId="a9">
    <w:name w:val="Текст выноски Знак"/>
    <w:link w:val="BalloonText"/>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BodyTextIndent">
    <w:name w:val="Body Text Indent"/>
    <w:basedOn w:val="Normal"/>
    <w:link w:val="a10"/>
    <w:uiPriority w:val="99"/>
    <w:semiHidden/>
    <w:unhideWhenUsed/>
    <w:pPr>
      <w:spacing w:after="120"/>
      <w:ind w:left="283"/>
    </w:pPr>
  </w:style>
  <w:style w:type="character" w:customStyle="1" w:styleId="a10">
    <w:name w:val="Основной текст с отступом Знак"/>
    <w:link w:val="BodyTextIndent"/>
    <w:uiPriority w:val="99"/>
    <w:semiHidden/>
    <w:rPr>
      <w:sz w:val="22"/>
      <w:szCs w:val="22"/>
      <w:lang w:eastAsia="en-US" w:bidi="en-US"/>
    </w:rPr>
  </w:style>
  <w:style w:type="paragraph" w:customStyle="1" w:styleId="ConsPlusTitle">
    <w:name w:val="ConsPlusTitle"/>
    <w:rsid w:val="00023A57"/>
    <w:pPr>
      <w:widowControl w:val="0"/>
      <w:autoSpaceDE w:val="0"/>
      <w:autoSpaceDN w:val="0"/>
      <w:adjustRightInd w:val="0"/>
    </w:pPr>
    <w:rPr>
      <w:rFonts w:ascii="Arial" w:hAnsi="Arial" w:cs="Arial"/>
      <w:b/>
      <w:bCs/>
    </w:rPr>
  </w:style>
  <w:style w:type="character" w:customStyle="1" w:styleId="ConsPlusNormal0">
    <w:name w:val="ConsPlusNormal Знак"/>
    <w:link w:val="ConsPlusNormal"/>
    <w:locked/>
    <w:rsid w:val="00023A57"/>
    <w:rPr>
      <w:rFonts w:ascii="Calibri" w:hAnsi="Calibri" w:cs="Calibri"/>
      <w:sz w:val="22"/>
    </w:rPr>
  </w:style>
  <w:style w:type="character" w:customStyle="1" w:styleId="document-info-name">
    <w:name w:val="document-info-name"/>
    <w:basedOn w:val="DefaultParagraphFont"/>
    <w:rsid w:val="00510171"/>
  </w:style>
  <w:style w:type="character" w:customStyle="1" w:styleId="document-info-data">
    <w:name w:val="document-info-data"/>
    <w:basedOn w:val="DefaultParagraphFont"/>
    <w:rsid w:val="00510171"/>
  </w:style>
  <w:style w:type="paragraph" w:styleId="NormalWeb">
    <w:name w:val="Normal (Web)"/>
    <w:basedOn w:val="Normal"/>
    <w:uiPriority w:val="99"/>
    <w:unhideWhenUsed/>
    <w:rsid w:val="00D10E7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lang w:eastAsia="ru-RU" w:bidi="ar-SA"/>
    </w:rPr>
  </w:style>
  <w:style w:type="character" w:styleId="LineNumber">
    <w:name w:val="line number"/>
    <w:basedOn w:val="DefaultParagraphFont"/>
    <w:uiPriority w:val="99"/>
    <w:semiHidden/>
    <w:unhideWhenUsed/>
    <w:rsid w:val="003B76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login.consultant.ru/link/?req=doc&amp;base=LAW&amp;n=481367&amp;dst=100139" TargetMode="External" /><Relationship Id="rId11" Type="http://schemas.openxmlformats.org/officeDocument/2006/relationships/hyperlink" Target="https://login.consultant.ru/link/?req=doc&amp;base=LAW&amp;n=495440&amp;dst=305" TargetMode="External" /><Relationship Id="rId12" Type="http://schemas.openxmlformats.org/officeDocument/2006/relationships/hyperlink" Target="https://login.consultant.ru/link/?req=doc&amp;base=LAW&amp;n=495440&amp;dst=210" TargetMode="External" /><Relationship Id="rId13" Type="http://schemas.openxmlformats.org/officeDocument/2006/relationships/hyperlink" Target="https://login.consultant.ru/link/?req=doc&amp;base=LAW&amp;n=494926&amp;dst=3002" TargetMode="External" /><Relationship Id="rId14" Type="http://schemas.openxmlformats.org/officeDocument/2006/relationships/hyperlink" Target="https://login.consultant.ru/link/?req=doc&amp;base=LAW&amp;n=493188" TargetMode="External" /><Relationship Id="rId15" Type="http://schemas.openxmlformats.org/officeDocument/2006/relationships/hyperlink" Target="https://login.consultant.ru/link/?req=doc&amp;base=LAW&amp;n=477945&amp;dst=100027" TargetMode="External" /><Relationship Id="rId16" Type="http://schemas.openxmlformats.org/officeDocument/2006/relationships/hyperlink" Target="https://login.consultant.ru/link/?req=doc&amp;base=LAW&amp;n=495440&amp;dst=100098" TargetMode="External" /><Relationship Id="rId17" Type="http://schemas.openxmlformats.org/officeDocument/2006/relationships/hyperlink" Target="https://login.consultant.ru/link/?req=doc&amp;base=LAW&amp;n=495440&amp;dst=100106" TargetMode="External" /><Relationship Id="rId18" Type="http://schemas.openxmlformats.org/officeDocument/2006/relationships/hyperlink" Target="https://login.consultant.ru/link/?req=doc&amp;base=LAW&amp;n=495440&amp;dst=100" TargetMode="External" /><Relationship Id="rId19" Type="http://schemas.openxmlformats.org/officeDocument/2006/relationships/hyperlink" Target="https://login.consultant.ru/link/?req=doc&amp;base=LAW&amp;n=495440&amp;dst=279" TargetMode="External" /><Relationship Id="rId2" Type="http://schemas.openxmlformats.org/officeDocument/2006/relationships/webSettings" Target="webSettings.xml" /><Relationship Id="rId20" Type="http://schemas.openxmlformats.org/officeDocument/2006/relationships/hyperlink" Target="https://login.consultant.ru/link/?req=doc&amp;base=LAW&amp;n=495440&amp;dst=100097" TargetMode="External" /><Relationship Id="rId21" Type="http://schemas.openxmlformats.org/officeDocument/2006/relationships/hyperlink" Target="https://login.consultant.ru/link/?req=doc&amp;base=LAW&amp;n=217532&amp;dst=100006" TargetMode="External" /><Relationship Id="rId22" Type="http://schemas.openxmlformats.org/officeDocument/2006/relationships/hyperlink" Target="https://login.consultant.ru/link/?req=doc&amp;base=LAW&amp;n=495440&amp;dst=183" TargetMode="External" /><Relationship Id="rId23" Type="http://schemas.openxmlformats.org/officeDocument/2006/relationships/hyperlink" Target="https://login.consultant.ru/link/?req=doc&amp;base=LAW&amp;n=495440&amp;dst=90" TargetMode="External" /><Relationship Id="rId24" Type="http://schemas.openxmlformats.org/officeDocument/2006/relationships/hyperlink" Target="https://login.consultant.ru/link/?req=doc&amp;base=LAW&amp;n=495440&amp;dst=99" TargetMode="External" /><Relationship Id="rId25" Type="http://schemas.openxmlformats.org/officeDocument/2006/relationships/hyperlink" Target="https://login.consultant.ru/link/?req=doc&amp;base=LAW&amp;n=495440&amp;dst=101" TargetMode="External" /><Relationship Id="rId26" Type="http://schemas.openxmlformats.org/officeDocument/2006/relationships/hyperlink" Target="https://login.consultant.ru/link/?req=doc&amp;base=LAW&amp;n=495440&amp;dst=100358" TargetMode="External" /><Relationship Id="rId27" Type="http://schemas.openxmlformats.org/officeDocument/2006/relationships/hyperlink" Target="https://login.consultant.ru/link/?req=doc&amp;base=LAW&amp;n=495440&amp;dst=98" TargetMode="External" /><Relationship Id="rId28" Type="http://schemas.openxmlformats.org/officeDocument/2006/relationships/hyperlink" Target="https://login.consultant.ru/link/?req=doc&amp;base=LAW&amp;n=495440&amp;dst=281" TargetMode="External" /><Relationship Id="rId29" Type="http://schemas.openxmlformats.org/officeDocument/2006/relationships/hyperlink" Target="https://login.consultant.ru/link/?req=doc&amp;base=LAW&amp;n=495440&amp;dst=409" TargetMode="External" /><Relationship Id="rId3" Type="http://schemas.openxmlformats.org/officeDocument/2006/relationships/fontTable" Target="fontTable.xml" /><Relationship Id="rId30" Type="http://schemas.openxmlformats.org/officeDocument/2006/relationships/hyperlink" Target="https://login.consultant.ru/link/?req=doc&amp;base=LAW&amp;n=495440&amp;dst=399" TargetMode="External" /><Relationship Id="rId31" Type="http://schemas.openxmlformats.org/officeDocument/2006/relationships/hyperlink" Target="https://login.consultant.ru/link/?req=doc&amp;base=LAW&amp;n=495440&amp;dst=403" TargetMode="External" /><Relationship Id="rId32" Type="http://schemas.openxmlformats.org/officeDocument/2006/relationships/hyperlink" Target="https://login.consultant.ru/link/?req=doc&amp;base=LAW&amp;n=494926&amp;dst=3061" TargetMode="External" /><Relationship Id="rId33" Type="http://schemas.openxmlformats.org/officeDocument/2006/relationships/hyperlink" Target="https://login.consultant.ru/link/?req=doc&amp;base=LAW&amp;n=495440&amp;dst=100312" TargetMode="External" /><Relationship Id="rId34" Type="http://schemas.openxmlformats.org/officeDocument/2006/relationships/hyperlink" Target="https://login.consultant.ru/link/?req=doc&amp;base=LAW&amp;n=494926&amp;dst=490" TargetMode="External" /><Relationship Id="rId35" Type="http://schemas.openxmlformats.org/officeDocument/2006/relationships/hyperlink" Target="https://login.consultant.ru/link/?req=doc&amp;base=LAW&amp;n=481367" TargetMode="External" /><Relationship Id="rId36" Type="http://schemas.openxmlformats.org/officeDocument/2006/relationships/hyperlink" Target="https://login.consultant.ru/link/?req=doc&amp;base=LAW&amp;n=495440&amp;dst=97" TargetMode="External" /><Relationship Id="rId37" Type="http://schemas.openxmlformats.org/officeDocument/2006/relationships/hyperlink" Target="https://login.consultant.ru/link/?req=doc&amp;base=LAW&amp;n=494926&amp;dst=3054" TargetMode="External" /><Relationship Id="rId38" Type="http://schemas.openxmlformats.org/officeDocument/2006/relationships/hyperlink" Target="https://login.consultant.ru/link/?req=doc&amp;base=LAW&amp;n=495440&amp;dst=244" TargetMode="External" /><Relationship Id="rId39" Type="http://schemas.openxmlformats.org/officeDocument/2006/relationships/hyperlink" Target="https://login.consultant.ru/link/?req=doc&amp;base=LAW&amp;n=495440&amp;dst=253" TargetMode="External" /><Relationship Id="rId4" Type="http://schemas.openxmlformats.org/officeDocument/2006/relationships/customXml" Target="../customXml/item1.xml" /><Relationship Id="rId40" Type="http://schemas.openxmlformats.org/officeDocument/2006/relationships/hyperlink" Target="https://login.consultant.ru/link/?req=doc&amp;base=LAW&amp;n=495440&amp;dst=143" TargetMode="External" /><Relationship Id="rId41" Type="http://schemas.openxmlformats.org/officeDocument/2006/relationships/header" Target="header1.xml" /><Relationship Id="rId42" Type="http://schemas.openxmlformats.org/officeDocument/2006/relationships/header" Target="header2.xml" /><Relationship Id="rId43" Type="http://schemas.openxmlformats.org/officeDocument/2006/relationships/theme" Target="theme/theme1.xml" /><Relationship Id="rId44" Type="http://schemas.openxmlformats.org/officeDocument/2006/relationships/styles" Target="styles.xml" /><Relationship Id="rId5" Type="http://schemas.openxmlformats.org/officeDocument/2006/relationships/customXml" Target="../customXml/item2.xml" /><Relationship Id="rId6" Type="http://schemas.openxmlformats.org/officeDocument/2006/relationships/hyperlink" Target="https://login.consultant.ru/link/?req=doc&amp;base=RLAW091&amp;n=159398" TargetMode="External" /><Relationship Id="rId7" Type="http://schemas.openxmlformats.org/officeDocument/2006/relationships/hyperlink" Target="https://login.consultant.ru/link/?req=doc&amp;base=RLAW091&amp;n=127712&amp;dst=100012" TargetMode="External" /><Relationship Id="rId8" Type="http://schemas.openxmlformats.org/officeDocument/2006/relationships/hyperlink" Target="https://login.consultant.ru/link/?req=doc&amp;base=LAW&amp;n=494926&amp;dst=102032" TargetMode="External" /><Relationship Id="rId9" Type="http://schemas.openxmlformats.org/officeDocument/2006/relationships/hyperlink" Target="https://login.consultant.ru/link/?req=doc&amp;base=LAW&amp;n=494926&amp;dst=102033"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7CA9472F-F1FD-44D8-B081-A07012D9F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6483</Words>
  <Characters>36959</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Екатерина Сергеевна Минина</cp:lastModifiedBy>
  <cp:revision>2</cp:revision>
  <cp:lastPrinted>2025-01-10T05:10:00Z</cp:lastPrinted>
  <dcterms:created xsi:type="dcterms:W3CDTF">2025-04-09T04:50:00Z</dcterms:created>
  <dcterms:modified xsi:type="dcterms:W3CDTF">2025-04-09T04:50:00Z</dcterms:modified>
</cp:coreProperties>
</file>