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17.10.2024 по делу № 3а-84/2024 удовлетворено административное исковое заявление (информация скрыта)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 действующими со дня принятия пунктов 147, 148, 149, 1781 перечня объектов для целей налогообложения на 2024 год, утвержденного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от 27.11.2023 № 117-о </w:t>
      </w:r>
      <w:r>
        <w:rPr>
          <w:rFonts w:ascii="PT Astra Serif" w:eastAsia="PT Astra Serif" w:hAnsi="PT Astra Serif" w:cs="PT Astra Serif"/>
          <w:sz w:val="24"/>
          <w:szCs w:val="24"/>
        </w:rPr>
        <w:t>«Об определении перечня объектов для целей налогообложения на 2024 год».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modified xsi:type="dcterms:W3CDTF">2025-02-04T04:38:32Z</dcterms:modified>
</cp:coreProperties>
</file>