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Layout w:type="fixed"/>
        <w:tblLook w:val="0000"/>
      </w:tblPr>
      <w:tblGrid>
        <w:gridCol w:w="4785"/>
        <w:gridCol w:w="4785"/>
      </w:tblGrid>
      <w:tr w:rsidR="006D0B9D" w:rsidTr="00E479C5">
        <w:trPr>
          <w:cantSplit/>
        </w:trPr>
        <w:tc>
          <w:tcPr>
            <w:tcW w:w="9570" w:type="dxa"/>
            <w:gridSpan w:val="2"/>
          </w:tcPr>
          <w:p w:rsidR="006D0B9D" w:rsidRDefault="00AE50EB" w:rsidP="00AE50EB">
            <w:pPr>
              <w:ind w:right="56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</w:t>
            </w:r>
            <w:r w:rsidR="0067235E">
              <w:rPr>
                <w:noProof/>
              </w:rPr>
              <w:drawing>
                <wp:inline distT="0" distB="0" distL="0" distR="0">
                  <wp:extent cx="1009650" cy="9620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 w:rsidP="00AE50EB">
            <w:pPr>
              <w:ind w:right="566"/>
              <w:jc w:val="center"/>
              <w:rPr>
                <w:sz w:val="18"/>
              </w:rPr>
            </w:pPr>
          </w:p>
          <w:p w:rsidR="006D0B9D" w:rsidRDefault="00AE50EB" w:rsidP="00AE50EB">
            <w:pPr>
              <w:pStyle w:val="5"/>
            </w:pPr>
            <w:r>
              <w:t xml:space="preserve">                            </w:t>
            </w:r>
            <w:r w:rsidR="006D0B9D">
              <w:t>Департамент финансов  Томской области</w:t>
            </w:r>
          </w:p>
          <w:p w:rsidR="006D0B9D" w:rsidRDefault="006D0B9D" w:rsidP="00AE50EB">
            <w:pPr>
              <w:pStyle w:val="4"/>
            </w:pPr>
          </w:p>
          <w:p w:rsidR="006D0B9D" w:rsidRDefault="00AE50EB" w:rsidP="00AE50EB">
            <w:pPr>
              <w:pStyle w:val="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               </w:t>
            </w:r>
            <w:r w:rsidR="006D0B9D">
              <w:t>ПРИКАЗ</w:t>
            </w:r>
          </w:p>
          <w:p w:rsidR="0096194D" w:rsidRPr="0096194D" w:rsidRDefault="0096194D" w:rsidP="0096194D"/>
        </w:tc>
      </w:tr>
      <w:tr w:rsidR="006D0B9D" w:rsidTr="00E479C5">
        <w:tc>
          <w:tcPr>
            <w:tcW w:w="4785" w:type="dxa"/>
          </w:tcPr>
          <w:p w:rsidR="006D0B9D" w:rsidRDefault="00AE50EB" w:rsidP="00AE50EB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</w:t>
            </w:r>
            <w:r w:rsidR="0096194D">
              <w:rPr>
                <w:sz w:val="26"/>
              </w:rPr>
              <w:t>«___» __________ 2016 г.</w:t>
            </w:r>
          </w:p>
        </w:tc>
        <w:tc>
          <w:tcPr>
            <w:tcW w:w="4785" w:type="dxa"/>
          </w:tcPr>
          <w:p w:rsidR="006D0B9D" w:rsidRDefault="00AE50EB" w:rsidP="00AE50EB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</w:t>
            </w:r>
            <w:r w:rsidR="006D0B9D">
              <w:rPr>
                <w:sz w:val="26"/>
              </w:rPr>
              <w:t>№</w:t>
            </w:r>
          </w:p>
        </w:tc>
      </w:tr>
      <w:tr w:rsidR="006D0B9D" w:rsidTr="00E479C5">
        <w:trPr>
          <w:cantSplit/>
        </w:trPr>
        <w:tc>
          <w:tcPr>
            <w:tcW w:w="9570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  <w:tr w:rsidR="006D0B9D" w:rsidTr="00E479C5">
        <w:trPr>
          <w:cantSplit/>
        </w:trPr>
        <w:tc>
          <w:tcPr>
            <w:tcW w:w="4785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  <w:tc>
          <w:tcPr>
            <w:tcW w:w="4785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67235E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E479C5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D708CF">
        <w:rPr>
          <w:rFonts w:ascii="Times New Roman" w:hAnsi="Times New Roman" w:cs="Times New Roman"/>
          <w:bCs/>
          <w:sz w:val="26"/>
          <w:szCs w:val="26"/>
        </w:rPr>
        <w:t>внесении изменени</w:t>
      </w:r>
      <w:r w:rsidR="00B84BC5">
        <w:rPr>
          <w:rFonts w:ascii="Times New Roman" w:hAnsi="Times New Roman" w:cs="Times New Roman"/>
          <w:bCs/>
          <w:sz w:val="26"/>
          <w:szCs w:val="26"/>
        </w:rPr>
        <w:t>й</w:t>
      </w:r>
      <w:r w:rsidR="00D708CF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Pr="00E479C5">
        <w:rPr>
          <w:rFonts w:ascii="Times New Roman" w:hAnsi="Times New Roman" w:cs="Times New Roman"/>
          <w:bCs/>
          <w:sz w:val="26"/>
          <w:szCs w:val="26"/>
        </w:rPr>
        <w:t>приказ Департамента финансов Томской области</w:t>
      </w:r>
      <w:r w:rsidR="00D708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51515" w:rsidRDefault="00D708CF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921FA0">
        <w:rPr>
          <w:rFonts w:ascii="Times New Roman" w:hAnsi="Times New Roman" w:cs="Times New Roman"/>
          <w:bCs/>
          <w:sz w:val="26"/>
          <w:szCs w:val="26"/>
        </w:rPr>
        <w:t>19.07.2012</w:t>
      </w:r>
      <w:r>
        <w:rPr>
          <w:rFonts w:ascii="Times New Roman" w:hAnsi="Times New Roman" w:cs="Times New Roman"/>
          <w:bCs/>
          <w:sz w:val="26"/>
          <w:szCs w:val="26"/>
        </w:rPr>
        <w:t xml:space="preserve"> №</w:t>
      </w:r>
      <w:r w:rsidR="00504F9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21FA0">
        <w:rPr>
          <w:rFonts w:ascii="Times New Roman" w:hAnsi="Times New Roman" w:cs="Times New Roman"/>
          <w:bCs/>
          <w:sz w:val="26"/>
          <w:szCs w:val="26"/>
        </w:rPr>
        <w:t>24</w:t>
      </w:r>
    </w:p>
    <w:p w:rsidR="00E479C5" w:rsidRPr="00E479C5" w:rsidRDefault="00E479C5" w:rsidP="00921FA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6D0B9D" w:rsidRDefault="00921FA0" w:rsidP="00921FA0">
      <w:pPr>
        <w:pStyle w:val="ConsPlusTitle"/>
        <w:tabs>
          <w:tab w:val="left" w:pos="10206"/>
        </w:tabs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целях совершенствования порядка </w:t>
      </w:r>
      <w:r w:rsidR="00961F97">
        <w:rPr>
          <w:b w:val="0"/>
          <w:sz w:val="26"/>
          <w:szCs w:val="26"/>
        </w:rPr>
        <w:t xml:space="preserve">и методики </w:t>
      </w:r>
      <w:r>
        <w:rPr>
          <w:b w:val="0"/>
          <w:sz w:val="26"/>
          <w:szCs w:val="26"/>
        </w:rPr>
        <w:t>планирования бюджетных ассигнований областного бюджета на очередной финансовый год и плановый период</w:t>
      </w:r>
    </w:p>
    <w:p w:rsidR="00E76FEB" w:rsidRPr="00451515" w:rsidRDefault="00E76FEB" w:rsidP="00921FA0">
      <w:pPr>
        <w:pStyle w:val="ConsPlusTitle"/>
        <w:tabs>
          <w:tab w:val="left" w:pos="10206"/>
        </w:tabs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ПРИКАЗЫВАЮ:</w:t>
      </w:r>
    </w:p>
    <w:p w:rsidR="00921FA0" w:rsidRPr="00921FA0" w:rsidRDefault="00BF46B7" w:rsidP="00921FA0">
      <w:pPr>
        <w:pStyle w:val="ConsPlusNormal"/>
        <w:tabs>
          <w:tab w:val="left" w:pos="10206"/>
        </w:tabs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1. </w:t>
      </w:r>
      <w:r w:rsidR="00921FA0" w:rsidRPr="00921FA0">
        <w:rPr>
          <w:rFonts w:ascii="Times New Roman" w:hAnsi="Times New Roman" w:cs="Times New Roman"/>
          <w:bCs/>
          <w:sz w:val="26"/>
          <w:szCs w:val="26"/>
        </w:rPr>
        <w:t>Внести в приказ Департамента финансов Томской области от 19.07.2012 № 24 «Об утверждении порядка планирования бюджетных ассигнований областного бюджета на очередной финансовый год и плановый период и методики планирования бюджетных ассигнований областного бюджета на очередной финансовый год и плановый период» ("Собрание законодательства Томской области", 15.08.2012, N 08/1(85) часть 1</w:t>
      </w:r>
      <w:r w:rsidR="00921FA0">
        <w:rPr>
          <w:rFonts w:ascii="Times New Roman" w:hAnsi="Times New Roman" w:cs="Times New Roman"/>
          <w:bCs/>
          <w:sz w:val="26"/>
          <w:szCs w:val="26"/>
        </w:rPr>
        <w:t>) следующие изменения:</w:t>
      </w:r>
    </w:p>
    <w:p w:rsidR="00921FA0" w:rsidRDefault="00921FA0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 xml:space="preserve">1) </w:t>
      </w:r>
      <w:r w:rsidR="00961F97">
        <w:rPr>
          <w:rFonts w:eastAsia="Calibri"/>
          <w:sz w:val="26"/>
          <w:szCs w:val="26"/>
          <w:lang w:eastAsia="en-US"/>
        </w:rPr>
        <w:t>в Порядке планирования бюджетных ассигнований</w:t>
      </w:r>
      <w:r w:rsidR="00D005E3">
        <w:rPr>
          <w:rFonts w:eastAsia="Calibri"/>
          <w:sz w:val="26"/>
          <w:szCs w:val="26"/>
          <w:lang w:eastAsia="en-US"/>
        </w:rPr>
        <w:t xml:space="preserve"> областного бюджета на очередной финансовый год и плановый период</w:t>
      </w:r>
      <w:r w:rsidR="00117542">
        <w:rPr>
          <w:rFonts w:eastAsia="Calibri"/>
          <w:sz w:val="26"/>
          <w:szCs w:val="26"/>
          <w:lang w:eastAsia="en-US"/>
        </w:rPr>
        <w:t xml:space="preserve">, </w:t>
      </w:r>
      <w:r w:rsidR="00961F97">
        <w:rPr>
          <w:sz w:val="26"/>
          <w:szCs w:val="26"/>
        </w:rPr>
        <w:t>у</w:t>
      </w:r>
      <w:r w:rsidR="00CA7195">
        <w:rPr>
          <w:sz w:val="26"/>
          <w:szCs w:val="26"/>
        </w:rPr>
        <w:t>твержденно</w:t>
      </w:r>
      <w:r w:rsidR="00136CDA">
        <w:rPr>
          <w:sz w:val="26"/>
          <w:szCs w:val="26"/>
        </w:rPr>
        <w:t>м</w:t>
      </w:r>
      <w:r w:rsidR="00961F97">
        <w:rPr>
          <w:sz w:val="26"/>
          <w:szCs w:val="26"/>
        </w:rPr>
        <w:t xml:space="preserve"> названным </w:t>
      </w:r>
      <w:r w:rsidR="00961F97" w:rsidRPr="00914A20">
        <w:rPr>
          <w:sz w:val="26"/>
          <w:szCs w:val="26"/>
        </w:rPr>
        <w:t>прик</w:t>
      </w:r>
      <w:r w:rsidR="00961F97">
        <w:rPr>
          <w:sz w:val="26"/>
          <w:szCs w:val="26"/>
        </w:rPr>
        <w:t>азом</w:t>
      </w:r>
      <w:r w:rsidR="00CA7195">
        <w:rPr>
          <w:sz w:val="26"/>
          <w:szCs w:val="26"/>
        </w:rPr>
        <w:t>:</w:t>
      </w:r>
    </w:p>
    <w:p w:rsidR="00117542" w:rsidRDefault="00117542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2 изложить в новой редакции:</w:t>
      </w:r>
    </w:p>
    <w:p w:rsidR="008F4A6A" w:rsidRDefault="008F4A6A" w:rsidP="008F4A6A">
      <w:pPr>
        <w:tabs>
          <w:tab w:val="left" w:pos="709"/>
          <w:tab w:val="left" w:pos="851"/>
          <w:tab w:val="left" w:pos="993"/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«2.</w:t>
      </w:r>
      <w:r w:rsidR="00267183">
        <w:rPr>
          <w:sz w:val="26"/>
          <w:szCs w:val="26"/>
        </w:rPr>
        <w:t xml:space="preserve"> </w:t>
      </w:r>
      <w:r w:rsidR="00117542">
        <w:rPr>
          <w:sz w:val="26"/>
          <w:szCs w:val="26"/>
        </w:rPr>
        <w:t>Планирование бюджетных ассигнований осуществляется в разрезе государственных программ Томской области, указанных в Перечне государственных программ Томской области, утвержденным распоряжением Администрации Томской области  от 19.02.2015 № 115-ра (далее –</w:t>
      </w:r>
      <w:r w:rsidR="00363B69">
        <w:rPr>
          <w:sz w:val="26"/>
          <w:szCs w:val="26"/>
        </w:rPr>
        <w:t xml:space="preserve"> ГП), и расходов, не включаемых в ГП в соответствии с пунктом 12 Порядка принятия решений о разработке государственных программ Томской области, их формирования и реализации, утвержденного постановлением Администрации</w:t>
      </w:r>
      <w:r>
        <w:rPr>
          <w:sz w:val="26"/>
          <w:szCs w:val="26"/>
        </w:rPr>
        <w:t xml:space="preserve"> Томской области от 03.04.2014 № 119а «Об утверждении Порядка принятия решений о разработке государственных программ Томской области, их формирования и реализации» (далее – непрограммные направления).»;</w:t>
      </w:r>
    </w:p>
    <w:p w:rsidR="001B1493" w:rsidRPr="007B36CA" w:rsidRDefault="001B1493" w:rsidP="008F4A6A">
      <w:pPr>
        <w:tabs>
          <w:tab w:val="left" w:pos="709"/>
          <w:tab w:val="left" w:pos="851"/>
          <w:tab w:val="left" w:pos="993"/>
          <w:tab w:val="left" w:pos="1020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7B36CA">
        <w:rPr>
          <w:color w:val="000000" w:themeColor="text1"/>
          <w:sz w:val="26"/>
          <w:szCs w:val="26"/>
        </w:rPr>
        <w:t>дополнить пунктом 5-1 следующего содержания:</w:t>
      </w:r>
    </w:p>
    <w:p w:rsidR="001B1493" w:rsidRPr="007B36CA" w:rsidRDefault="001B1493" w:rsidP="005E44C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B36C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«5-1. Планирование бюджетных ассигнований на исполнение принимаемых обязательств в рамках государственных программ Томской области, осуществляется с учетом </w:t>
      </w:r>
      <w:proofErr w:type="gramStart"/>
      <w:r w:rsidRPr="007B36CA">
        <w:rPr>
          <w:rFonts w:ascii="Times New Roman" w:hAnsi="Times New Roman" w:cs="Times New Roman"/>
          <w:color w:val="000000" w:themeColor="text1"/>
          <w:sz w:val="26"/>
          <w:szCs w:val="26"/>
        </w:rPr>
        <w:t>результатов оценки эффективности</w:t>
      </w:r>
      <w:r w:rsidR="00136CD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реализации</w:t>
      </w:r>
      <w:r w:rsidRPr="007B36C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государственных программ</w:t>
      </w:r>
      <w:proofErr w:type="gramEnd"/>
      <w:r w:rsidRPr="007B36C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Томской области, проводимой в соответствии с постановлением Администрации Томской области от 05.05.2015 № 151а «Об утверждении Порядка проведения оценки эффективности реализации государственных программ Томской области</w:t>
      </w:r>
      <w:r w:rsidR="005E44C4" w:rsidRPr="007B36CA">
        <w:rPr>
          <w:rFonts w:ascii="Times New Roman" w:hAnsi="Times New Roman" w:cs="Times New Roman"/>
          <w:color w:val="000000" w:themeColor="text1"/>
          <w:sz w:val="26"/>
          <w:szCs w:val="26"/>
        </w:rPr>
        <w:t>»;</w:t>
      </w:r>
    </w:p>
    <w:p w:rsidR="00B524BE" w:rsidRDefault="00136CDA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пункте 10:</w:t>
      </w:r>
    </w:p>
    <w:p w:rsidR="00136CDA" w:rsidRPr="007B36CA" w:rsidRDefault="00136CDA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абзац восьмой признать утратившим силу;</w:t>
      </w:r>
    </w:p>
    <w:p w:rsidR="00117542" w:rsidRDefault="00661E7B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B36CA">
        <w:rPr>
          <w:color w:val="000000" w:themeColor="text1"/>
          <w:sz w:val="26"/>
          <w:szCs w:val="26"/>
        </w:rPr>
        <w:t xml:space="preserve">в абзаце </w:t>
      </w:r>
      <w:r w:rsidR="00B84BC5">
        <w:rPr>
          <w:color w:val="000000" w:themeColor="text1"/>
          <w:sz w:val="26"/>
          <w:szCs w:val="26"/>
        </w:rPr>
        <w:t>девятом</w:t>
      </w:r>
      <w:r w:rsidRPr="007B36CA">
        <w:rPr>
          <w:color w:val="000000" w:themeColor="text1"/>
          <w:sz w:val="26"/>
          <w:szCs w:val="26"/>
        </w:rPr>
        <w:t xml:space="preserve"> слова «и о внесении</w:t>
      </w:r>
      <w:r>
        <w:rPr>
          <w:sz w:val="26"/>
          <w:szCs w:val="26"/>
        </w:rPr>
        <w:t xml:space="preserve"> изменения в постановление Администрации Томской области от 22.06.2012 № 237а» исключить;</w:t>
      </w:r>
    </w:p>
    <w:p w:rsidR="00D005E3" w:rsidRDefault="00D005E3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2) в Методике планирования бюджетных ассигнований областного бюджета на очередной финансовый год и плановый период, у</w:t>
      </w:r>
      <w:r w:rsidR="00136CDA">
        <w:rPr>
          <w:sz w:val="26"/>
          <w:szCs w:val="26"/>
        </w:rPr>
        <w:t>твержденной</w:t>
      </w:r>
      <w:r>
        <w:rPr>
          <w:sz w:val="26"/>
          <w:szCs w:val="26"/>
        </w:rPr>
        <w:t xml:space="preserve"> названным приказо</w:t>
      </w:r>
      <w:r w:rsidR="00CA7195">
        <w:rPr>
          <w:sz w:val="26"/>
          <w:szCs w:val="26"/>
        </w:rPr>
        <w:t>м:</w:t>
      </w:r>
    </w:p>
    <w:p w:rsidR="00B3276A" w:rsidRDefault="00B3276A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4 изложить в новой редакции:</w:t>
      </w:r>
    </w:p>
    <w:p w:rsidR="00B3276A" w:rsidRDefault="00B3276A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«4. </w:t>
      </w:r>
      <w:r w:rsidR="00700320">
        <w:rPr>
          <w:sz w:val="26"/>
          <w:szCs w:val="26"/>
        </w:rPr>
        <w:t xml:space="preserve">Решение о </w:t>
      </w:r>
      <w:r w:rsidR="000D4BA6">
        <w:rPr>
          <w:sz w:val="26"/>
          <w:szCs w:val="26"/>
        </w:rPr>
        <w:t>применении</w:t>
      </w:r>
      <w:r w:rsidR="00700320">
        <w:rPr>
          <w:sz w:val="26"/>
          <w:szCs w:val="26"/>
        </w:rPr>
        <w:t xml:space="preserve"> коэффициентов индексации и индекса потребительских цен, прогнозируемого по Российской Федерации (в среднем за год к предыдущему году, в процентах) (далее – ИПЦ) при планировании бюджетных ассигнований на действующие расходные обязательства принимает </w:t>
      </w:r>
      <w:r>
        <w:rPr>
          <w:sz w:val="26"/>
          <w:szCs w:val="26"/>
        </w:rPr>
        <w:t>бюджетн</w:t>
      </w:r>
      <w:r w:rsidR="00700320">
        <w:rPr>
          <w:sz w:val="26"/>
          <w:szCs w:val="26"/>
        </w:rPr>
        <w:t>ая</w:t>
      </w:r>
      <w:r>
        <w:rPr>
          <w:sz w:val="26"/>
          <w:szCs w:val="26"/>
        </w:rPr>
        <w:t xml:space="preserve"> комисси</w:t>
      </w:r>
      <w:r w:rsidR="00136CDA">
        <w:rPr>
          <w:sz w:val="26"/>
          <w:szCs w:val="26"/>
        </w:rPr>
        <w:t>я</w:t>
      </w:r>
      <w:r>
        <w:rPr>
          <w:sz w:val="26"/>
          <w:szCs w:val="26"/>
        </w:rPr>
        <w:t xml:space="preserve"> по составлению проекта областного бюджета на очередной финансовый год и плановый период</w:t>
      </w:r>
      <w:proofErr w:type="gramStart"/>
      <w:r w:rsidR="00C12193">
        <w:rPr>
          <w:sz w:val="26"/>
          <w:szCs w:val="26"/>
        </w:rPr>
        <w:t>.»</w:t>
      </w:r>
      <w:r w:rsidR="00116C95">
        <w:rPr>
          <w:sz w:val="26"/>
          <w:szCs w:val="26"/>
        </w:rPr>
        <w:t>;</w:t>
      </w:r>
      <w:proofErr w:type="gramEnd"/>
    </w:p>
    <w:p w:rsidR="00116C95" w:rsidRDefault="00116C95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подпункт 2 пункта 19 изложить в следующей редакции:</w:t>
      </w:r>
    </w:p>
    <w:p w:rsidR="00116C95" w:rsidRDefault="00116C95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«2) на увеличение </w:t>
      </w:r>
      <w:proofErr w:type="gramStart"/>
      <w:r>
        <w:rPr>
          <w:sz w:val="26"/>
          <w:szCs w:val="26"/>
        </w:rPr>
        <w:t>фондов оплаты труда работников бюджетной сферы</w:t>
      </w:r>
      <w:proofErr w:type="gramEnd"/>
      <w:r w:rsidR="009B388C">
        <w:rPr>
          <w:sz w:val="26"/>
          <w:szCs w:val="26"/>
        </w:rPr>
        <w:t xml:space="preserve"> исходя из соответствующих параметров индексации фонда оплаты труда работников бюджетной сферы и основных характеристик проекта областного бюджета на очередной фин</w:t>
      </w:r>
      <w:r w:rsidR="006F3EFB">
        <w:rPr>
          <w:sz w:val="26"/>
          <w:szCs w:val="26"/>
        </w:rPr>
        <w:t>ансовый год и плановый период;»;</w:t>
      </w:r>
    </w:p>
    <w:p w:rsidR="006F3EFB" w:rsidRDefault="006F3EFB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пункт 10 изложить в следующей редакции:</w:t>
      </w:r>
    </w:p>
    <w:p w:rsidR="006F3EFB" w:rsidRPr="006F3EFB" w:rsidRDefault="006F3EFB" w:rsidP="006F3EF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F3EFB">
        <w:rPr>
          <w:rFonts w:ascii="Times New Roman" w:hAnsi="Times New Roman" w:cs="Times New Roman"/>
          <w:sz w:val="26"/>
          <w:szCs w:val="26"/>
        </w:rPr>
        <w:t xml:space="preserve">«10. </w:t>
      </w:r>
      <w:proofErr w:type="gramStart"/>
      <w:r w:rsidRPr="006F3EFB">
        <w:rPr>
          <w:rFonts w:ascii="Times New Roman" w:hAnsi="Times New Roman" w:cs="Times New Roman"/>
          <w:sz w:val="26"/>
          <w:szCs w:val="26"/>
        </w:rPr>
        <w:t>Объем  субсидий на финансовое обеспечение выполнения государственного задания областными государственными бюджетными учреждениями и областными государственными автономными учреждениями</w:t>
      </w:r>
      <w:r>
        <w:rPr>
          <w:rFonts w:ascii="Times New Roman" w:hAnsi="Times New Roman" w:cs="Times New Roman"/>
          <w:sz w:val="26"/>
          <w:szCs w:val="26"/>
        </w:rPr>
        <w:t xml:space="preserve"> определяется в соответствии с </w:t>
      </w:r>
      <w:hyperlink r:id="rId9" w:history="1">
        <w:r w:rsidRPr="006F3EFB">
          <w:rPr>
            <w:rFonts w:ascii="Times New Roman" w:hAnsi="Times New Roman" w:cs="Times New Roman"/>
            <w:sz w:val="26"/>
            <w:szCs w:val="26"/>
          </w:rPr>
          <w:t>Порядком</w:t>
        </w:r>
      </w:hyperlink>
      <w:r w:rsidRPr="006F3EFB">
        <w:rPr>
          <w:rFonts w:ascii="Times New Roman" w:hAnsi="Times New Roman" w:cs="Times New Roman"/>
          <w:sz w:val="26"/>
          <w:szCs w:val="26"/>
        </w:rPr>
        <w:t xml:space="preserve"> финансового обеспечения выполнения государственного задания областными государственными учреждениями</w:t>
      </w:r>
      <w:r>
        <w:rPr>
          <w:rFonts w:ascii="Times New Roman" w:hAnsi="Times New Roman" w:cs="Times New Roman"/>
          <w:sz w:val="26"/>
          <w:szCs w:val="26"/>
        </w:rPr>
        <w:t xml:space="preserve">, утвержденным постановлением Администрации </w:t>
      </w:r>
      <w:r w:rsidRPr="006F3EFB">
        <w:rPr>
          <w:rFonts w:ascii="Times New Roman" w:hAnsi="Times New Roman" w:cs="Times New Roman"/>
          <w:sz w:val="26"/>
          <w:szCs w:val="26"/>
        </w:rPr>
        <w:t>Томской</w:t>
      </w:r>
      <w:r>
        <w:rPr>
          <w:rFonts w:ascii="Times New Roman" w:hAnsi="Times New Roman" w:cs="Times New Roman"/>
          <w:sz w:val="26"/>
          <w:szCs w:val="26"/>
        </w:rPr>
        <w:t xml:space="preserve"> о</w:t>
      </w:r>
      <w:r w:rsidRPr="006F3EFB">
        <w:rPr>
          <w:rFonts w:ascii="Times New Roman" w:hAnsi="Times New Roman" w:cs="Times New Roman"/>
          <w:sz w:val="26"/>
          <w:szCs w:val="26"/>
        </w:rPr>
        <w:t>бласти</w:t>
      </w:r>
      <w:r>
        <w:rPr>
          <w:rFonts w:ascii="Times New Roman" w:hAnsi="Times New Roman" w:cs="Times New Roman"/>
          <w:sz w:val="26"/>
          <w:szCs w:val="26"/>
        </w:rPr>
        <w:t xml:space="preserve"> о</w:t>
      </w:r>
      <w:r w:rsidRPr="006F3EFB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3EFB">
        <w:rPr>
          <w:rFonts w:ascii="Times New Roman" w:hAnsi="Times New Roman" w:cs="Times New Roman"/>
          <w:sz w:val="26"/>
          <w:szCs w:val="26"/>
        </w:rPr>
        <w:t>14.10.2015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 w:rsidRPr="006F3EFB">
        <w:rPr>
          <w:rFonts w:ascii="Times New Roman" w:hAnsi="Times New Roman" w:cs="Times New Roman"/>
          <w:sz w:val="26"/>
          <w:szCs w:val="26"/>
        </w:rPr>
        <w:t>375а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6F3EFB">
        <w:rPr>
          <w:rFonts w:ascii="Times New Roman" w:hAnsi="Times New Roman" w:cs="Times New Roman"/>
          <w:sz w:val="26"/>
          <w:szCs w:val="26"/>
        </w:rPr>
        <w:t>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</w:t>
      </w:r>
      <w:r w:rsidR="00CA7195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BF46B7" w:rsidRPr="00BF46B7" w:rsidRDefault="00BF46B7" w:rsidP="00921FA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F46B7">
        <w:rPr>
          <w:rFonts w:eastAsia="Calibri"/>
          <w:sz w:val="26"/>
          <w:szCs w:val="26"/>
          <w:lang w:eastAsia="en-US"/>
        </w:rPr>
        <w:t>2.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BF46B7">
        <w:rPr>
          <w:rFonts w:eastAsia="Calibri"/>
          <w:sz w:val="26"/>
          <w:szCs w:val="26"/>
          <w:lang w:eastAsia="en-US"/>
        </w:rPr>
        <w:t>Настоящ</w:t>
      </w:r>
      <w:r>
        <w:rPr>
          <w:rFonts w:eastAsia="Calibri"/>
          <w:sz w:val="26"/>
          <w:szCs w:val="26"/>
          <w:lang w:eastAsia="en-US"/>
        </w:rPr>
        <w:t>ий</w:t>
      </w:r>
      <w:r w:rsidRPr="00BF46B7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приказ</w:t>
      </w:r>
      <w:r w:rsidRPr="00BF46B7">
        <w:rPr>
          <w:rFonts w:eastAsia="Calibri"/>
          <w:sz w:val="26"/>
          <w:szCs w:val="26"/>
          <w:lang w:eastAsia="en-US"/>
        </w:rPr>
        <w:t xml:space="preserve"> вступает в силу со дня его официального опубликования</w:t>
      </w:r>
      <w:r w:rsidR="00921FA0">
        <w:rPr>
          <w:rFonts w:eastAsia="Calibri"/>
          <w:sz w:val="26"/>
          <w:szCs w:val="26"/>
          <w:lang w:eastAsia="en-US"/>
        </w:rPr>
        <w:t>.</w:t>
      </w:r>
    </w:p>
    <w:p w:rsidR="00BF46B7" w:rsidRDefault="00BF46B7" w:rsidP="00BF46B7">
      <w:pPr>
        <w:pStyle w:val="ac"/>
        <w:widowControl w:val="0"/>
        <w:tabs>
          <w:tab w:val="left" w:pos="-2127"/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Default="00961F97" w:rsidP="00961F97">
      <w:pPr>
        <w:pStyle w:val="ConsPlusTitle"/>
        <w:tabs>
          <w:tab w:val="left" w:pos="3080"/>
        </w:tabs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ab/>
      </w: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Pr="00E24833" w:rsidRDefault="0067235E" w:rsidP="00921FA0">
      <w:pPr>
        <w:pStyle w:val="ConsPlusTitle"/>
        <w:ind w:left="142"/>
        <w:jc w:val="both"/>
        <w:rPr>
          <w:b w:val="0"/>
          <w:bCs w:val="0"/>
          <w:sz w:val="26"/>
          <w:szCs w:val="26"/>
        </w:rPr>
      </w:pPr>
      <w:r w:rsidRPr="00E24833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67235E" w:rsidRPr="009D0137" w:rsidRDefault="0067235E" w:rsidP="00921FA0">
      <w:pPr>
        <w:pStyle w:val="ConsPlusTitle"/>
        <w:spacing w:line="360" w:lineRule="auto"/>
        <w:ind w:left="142"/>
        <w:jc w:val="both"/>
        <w:rPr>
          <w:sz w:val="26"/>
          <w:szCs w:val="26"/>
        </w:rPr>
      </w:pPr>
      <w:r w:rsidRPr="009D0137">
        <w:rPr>
          <w:b w:val="0"/>
          <w:bCs w:val="0"/>
          <w:sz w:val="26"/>
          <w:szCs w:val="26"/>
        </w:rPr>
        <w:t xml:space="preserve">Начальник Департамента финансов                                  </w:t>
      </w:r>
      <w:r w:rsidRPr="009D0137">
        <w:rPr>
          <w:b w:val="0"/>
          <w:bCs w:val="0"/>
          <w:sz w:val="26"/>
          <w:szCs w:val="26"/>
        </w:rPr>
        <w:tab/>
      </w:r>
      <w:r>
        <w:rPr>
          <w:b w:val="0"/>
          <w:bCs w:val="0"/>
          <w:sz w:val="26"/>
          <w:szCs w:val="26"/>
        </w:rPr>
        <w:tab/>
      </w:r>
      <w:r>
        <w:rPr>
          <w:b w:val="0"/>
          <w:bCs w:val="0"/>
          <w:sz w:val="26"/>
          <w:szCs w:val="26"/>
        </w:rPr>
        <w:tab/>
      </w:r>
      <w:r w:rsidRPr="009D0137">
        <w:rPr>
          <w:b w:val="0"/>
          <w:bCs w:val="0"/>
          <w:sz w:val="26"/>
          <w:szCs w:val="26"/>
        </w:rPr>
        <w:t>А.М. Феден</w:t>
      </w:r>
      <w:r>
        <w:rPr>
          <w:b w:val="0"/>
          <w:bCs w:val="0"/>
          <w:sz w:val="26"/>
          <w:szCs w:val="26"/>
        </w:rPr>
        <w:t>ё</w:t>
      </w:r>
      <w:r w:rsidRPr="009D0137">
        <w:rPr>
          <w:b w:val="0"/>
          <w:bCs w:val="0"/>
          <w:sz w:val="26"/>
          <w:szCs w:val="26"/>
        </w:rPr>
        <w:t>в</w:t>
      </w:r>
    </w:p>
    <w:p w:rsidR="00504F94" w:rsidRDefault="00504F94" w:rsidP="00504F94">
      <w:pPr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 w:rsidR="00504F94" w:rsidSect="00921FA0">
      <w:headerReference w:type="default" r:id="rId10"/>
      <w:footerReference w:type="default" r:id="rId11"/>
      <w:pgSz w:w="11907" w:h="16840" w:code="9"/>
      <w:pgMar w:top="851" w:right="850" w:bottom="426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320" w:rsidRDefault="00700320">
      <w:r>
        <w:separator/>
      </w:r>
    </w:p>
  </w:endnote>
  <w:endnote w:type="continuationSeparator" w:id="0">
    <w:p w:rsidR="00700320" w:rsidRDefault="00700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320" w:rsidRDefault="00700320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320" w:rsidRDefault="00700320">
      <w:r>
        <w:separator/>
      </w:r>
    </w:p>
  </w:footnote>
  <w:footnote w:type="continuationSeparator" w:id="0">
    <w:p w:rsidR="00700320" w:rsidRDefault="00700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320" w:rsidRPr="006D0B9D" w:rsidRDefault="00700320" w:rsidP="006D0B9D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6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6"/>
  </w:num>
  <w:num w:numId="5">
    <w:abstractNumId w:val="5"/>
  </w:num>
  <w:num w:numId="6">
    <w:abstractNumId w:val="6"/>
  </w:num>
  <w:num w:numId="7">
    <w:abstractNumId w:val="15"/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  <w:num w:numId="12">
    <w:abstractNumId w:val="13"/>
  </w:num>
  <w:num w:numId="13">
    <w:abstractNumId w:val="11"/>
  </w:num>
  <w:num w:numId="14">
    <w:abstractNumId w:val="7"/>
  </w:num>
  <w:num w:numId="15">
    <w:abstractNumId w:val="14"/>
  </w:num>
  <w:num w:numId="16">
    <w:abstractNumId w:val="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2405A"/>
    <w:rsid w:val="0004752C"/>
    <w:rsid w:val="00051491"/>
    <w:rsid w:val="000851CC"/>
    <w:rsid w:val="000C4BF5"/>
    <w:rsid w:val="000D4BA6"/>
    <w:rsid w:val="000F34C9"/>
    <w:rsid w:val="00113F2B"/>
    <w:rsid w:val="00115D12"/>
    <w:rsid w:val="00116C95"/>
    <w:rsid w:val="00117542"/>
    <w:rsid w:val="00136CDA"/>
    <w:rsid w:val="00171CBC"/>
    <w:rsid w:val="001B1493"/>
    <w:rsid w:val="001D3C90"/>
    <w:rsid w:val="001F74F6"/>
    <w:rsid w:val="00202E0C"/>
    <w:rsid w:val="0021611A"/>
    <w:rsid w:val="00224E2E"/>
    <w:rsid w:val="0024353A"/>
    <w:rsid w:val="002557E7"/>
    <w:rsid w:val="00267183"/>
    <w:rsid w:val="002766DC"/>
    <w:rsid w:val="00277B37"/>
    <w:rsid w:val="00280CC0"/>
    <w:rsid w:val="002D5359"/>
    <w:rsid w:val="00300C49"/>
    <w:rsid w:val="003049E1"/>
    <w:rsid w:val="00363B69"/>
    <w:rsid w:val="003941D8"/>
    <w:rsid w:val="003A7191"/>
    <w:rsid w:val="003C16CE"/>
    <w:rsid w:val="004022C7"/>
    <w:rsid w:val="00416808"/>
    <w:rsid w:val="00451515"/>
    <w:rsid w:val="0048669F"/>
    <w:rsid w:val="004B1334"/>
    <w:rsid w:val="004B24F8"/>
    <w:rsid w:val="004B3DCB"/>
    <w:rsid w:val="004E3864"/>
    <w:rsid w:val="00501BD8"/>
    <w:rsid w:val="00504F94"/>
    <w:rsid w:val="005526CE"/>
    <w:rsid w:val="005618D7"/>
    <w:rsid w:val="00586052"/>
    <w:rsid w:val="005E44C4"/>
    <w:rsid w:val="00661E7B"/>
    <w:rsid w:val="00670D82"/>
    <w:rsid w:val="0067235E"/>
    <w:rsid w:val="00692A4D"/>
    <w:rsid w:val="006D0B9D"/>
    <w:rsid w:val="006F3EFB"/>
    <w:rsid w:val="00700320"/>
    <w:rsid w:val="007041CC"/>
    <w:rsid w:val="007A4679"/>
    <w:rsid w:val="007A4BE1"/>
    <w:rsid w:val="007B36CA"/>
    <w:rsid w:val="007B5C0F"/>
    <w:rsid w:val="007F594F"/>
    <w:rsid w:val="00811F53"/>
    <w:rsid w:val="00813173"/>
    <w:rsid w:val="00831800"/>
    <w:rsid w:val="00867121"/>
    <w:rsid w:val="00883100"/>
    <w:rsid w:val="00890922"/>
    <w:rsid w:val="00895BB0"/>
    <w:rsid w:val="008E38F8"/>
    <w:rsid w:val="008F4A6A"/>
    <w:rsid w:val="00921FA0"/>
    <w:rsid w:val="009221B1"/>
    <w:rsid w:val="0093384E"/>
    <w:rsid w:val="009511FC"/>
    <w:rsid w:val="0096194D"/>
    <w:rsid w:val="00961F97"/>
    <w:rsid w:val="009B388C"/>
    <w:rsid w:val="009D0137"/>
    <w:rsid w:val="009D59C9"/>
    <w:rsid w:val="00AA3227"/>
    <w:rsid w:val="00AB559B"/>
    <w:rsid w:val="00AC173D"/>
    <w:rsid w:val="00AE50EB"/>
    <w:rsid w:val="00AF2810"/>
    <w:rsid w:val="00AF78BB"/>
    <w:rsid w:val="00B06819"/>
    <w:rsid w:val="00B3246A"/>
    <w:rsid w:val="00B3276A"/>
    <w:rsid w:val="00B377E3"/>
    <w:rsid w:val="00B524BE"/>
    <w:rsid w:val="00B84BC5"/>
    <w:rsid w:val="00BF46B7"/>
    <w:rsid w:val="00C12193"/>
    <w:rsid w:val="00C21C32"/>
    <w:rsid w:val="00C22D31"/>
    <w:rsid w:val="00C51D8A"/>
    <w:rsid w:val="00C61246"/>
    <w:rsid w:val="00C812CD"/>
    <w:rsid w:val="00CA3106"/>
    <w:rsid w:val="00CA7195"/>
    <w:rsid w:val="00CD6B34"/>
    <w:rsid w:val="00D005E3"/>
    <w:rsid w:val="00D708CF"/>
    <w:rsid w:val="00E24833"/>
    <w:rsid w:val="00E34C62"/>
    <w:rsid w:val="00E479C5"/>
    <w:rsid w:val="00E76FEB"/>
    <w:rsid w:val="00E91774"/>
    <w:rsid w:val="00EA0CA2"/>
    <w:rsid w:val="00ED221A"/>
    <w:rsid w:val="00ED675F"/>
    <w:rsid w:val="00F31D44"/>
    <w:rsid w:val="00F4312F"/>
    <w:rsid w:val="00F87912"/>
    <w:rsid w:val="00F87C24"/>
    <w:rsid w:val="00FB77AA"/>
    <w:rsid w:val="00FC7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21611A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21611A"/>
  </w:style>
  <w:style w:type="character" w:styleId="a6">
    <w:name w:val="footnote reference"/>
    <w:basedOn w:val="a1"/>
    <w:semiHidden/>
    <w:rsid w:val="0021611A"/>
    <w:rPr>
      <w:vertAlign w:val="superscript"/>
    </w:rPr>
  </w:style>
  <w:style w:type="paragraph" w:styleId="a7">
    <w:name w:val="footnote text"/>
    <w:basedOn w:val="a0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21611A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b">
    <w:name w:val="List"/>
    <w:basedOn w:val="a0"/>
    <w:semiHidden/>
    <w:rsid w:val="0021611A"/>
    <w:pPr>
      <w:ind w:left="283" w:hanging="283"/>
    </w:pPr>
  </w:style>
  <w:style w:type="paragraph" w:customStyle="1" w:styleId="2">
    <w:name w:val="Список2"/>
    <w:basedOn w:val="ab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21611A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504F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04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4476863D2947031035CE3855BAFDB413CB5091B2BD2F6FDAB30E1493855FC13F6C498176189C4C8EA76EHCY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709AB-593A-40CA-BD5C-5BF51E34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syl</cp:lastModifiedBy>
  <cp:revision>2</cp:revision>
  <cp:lastPrinted>2016-04-19T04:43:00Z</cp:lastPrinted>
  <dcterms:created xsi:type="dcterms:W3CDTF">2016-06-15T03:40:00Z</dcterms:created>
  <dcterms:modified xsi:type="dcterms:W3CDTF">2016-06-15T03:40:00Z</dcterms:modified>
</cp:coreProperties>
</file>