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1"/>
        <w:contextualSpacing/>
        <w:keepNext w:val="0"/>
        <w:spacing w:line="328" w:lineRule="exact"/>
        <w:rPr>
          <w:rFonts w:ascii="PT Astra Serif" w:hAnsi="PT Astra Serif" w:cs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 xml:space="preserve">ИЗВЕЩЕНИЕ О НАЧАЛЕ ВЫПОЛНЕНИЯ КОМПЛЕКСНЫХ </w:t>
      </w:r>
      <w:r>
        <w:rPr>
          <w:rFonts w:ascii="PT Astra Serif" w:hAnsi="PT Astra Serif" w:cs="PT Astra Serif"/>
          <w:b/>
          <w:bCs/>
          <w:sz w:val="24"/>
          <w:szCs w:val="24"/>
          <w:u w:val="single"/>
        </w:rPr>
      </w:r>
      <w:r/>
    </w:p>
    <w:p>
      <w:pPr>
        <w:pStyle w:val="871"/>
        <w:contextualSpacing/>
        <w:keepNext w:val="0"/>
        <w:spacing w:line="328" w:lineRule="exact"/>
        <w:rPr>
          <w:rFonts w:ascii="PT Astra Serif" w:hAnsi="PT Astra Serif" w:cs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cs="PT Astra Serif"/>
          <w:b/>
          <w:bCs/>
          <w:sz w:val="24"/>
          <w:szCs w:val="24"/>
          <w:u w:val="single"/>
        </w:rPr>
        <w:t xml:space="preserve">КАДАСТРОВЫХ РАБОТ</w:t>
      </w:r>
      <w:r>
        <w:rPr>
          <w:sz w:val="24"/>
          <w:szCs w:val="24"/>
        </w:rPr>
      </w:r>
      <w:r/>
    </w:p>
    <w:p>
      <w:pPr>
        <w:pStyle w:val="87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2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1.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В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период с 21 марта по 1 октября 2024 года в отношении объектов недвижимости, имеющих местоположение: 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08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-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Российская Федерация, Томская область, Первомайский муниципальный район, Улу-Юльское сельское поселение, поселок  Улу-Юл, в границах кадастровых кварталов 70:12:0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1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01001 и 70:12:0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1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01002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08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-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Российская Федерация, Томская область, Первомайский муниципальный район,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Куяновское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сельское поселение,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село Куяново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, в границах кадастров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квар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т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ал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70:12: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0200014,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(общее количество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объектов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853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) будут выполняться комплексные кадастровые работы в соответствии с муниципальным контрактом № 1/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20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24 от 21.03.2024, заключенным со стороны заказчика Управлением имущественных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 почты: 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fldChar w:fldCharType="begin"/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instrText xml:space="preserve"> HYPERLINK "mailto:kums@pmr.tomsk.ru" </w:instrTex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fldChar w:fldCharType="separate"/>
      </w:r>
      <w:r>
        <w:rPr>
          <w:rFonts w:ascii="PT Astra Serif" w:hAnsi="PT Astra Serif" w:cs="PT Astra Serif"/>
          <w:color w:val="000000"/>
          <w:sz w:val="24"/>
          <w:szCs w:val="24"/>
          <w:u w:val="single"/>
          <w:lang w:val="ru-RU"/>
        </w:rPr>
        <w:t xml:space="preserve">kums@pmr.tomsk.ru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fldChar w:fldCharType="end"/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, номера контактных телефонов: 8 (38245) 2-23-34, </w:t>
        <w:br/>
        <w:t xml:space="preserve">8 (38245) 2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-20-52), со стороны исполнителя обществом с ограниченной ответственностью «Контур» (почтовый адрес: 634009, Томская область, г. Томск, ул. Розы Люксембург, д. 27, офис 1, адрес электронной почты: aabulatov@list.ru, номер контактного телефона: 89528027777).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/>
          <w:sz w:val="24"/>
          <w:szCs w:val="24"/>
          <w:lang w:val="ru-RU"/>
        </w:rPr>
        <w:t xml:space="preserve">Фамилия, имя, отчество (при наличии) кадастровых инженеров: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/>
          <w:sz w:val="24"/>
          <w:szCs w:val="24"/>
          <w:lang w:val="ru-RU"/>
        </w:rPr>
        <w:t xml:space="preserve">Булатов Алексей Анатольевич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наименование саморегулируемой организации кадастровых инженеров, членом которой является кадастровый инженер: СРО Ассоциации «ОКИС»;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уникальный регистрационный номер члена саморегулируемой организации</w:t>
        <w:br w:type="textWrapping" w:clear="all"/>
        <w:t xml:space="preserve">кадастровых инженеров в реестре членов саморегулируемой организации кадастровых инженеров: 1844;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дата внесения сведений о физическом лице в реестр членов саморегулируемой организации кадастровых инженеров: 15.11.2016 г.;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почтовый адрес: 634034, Россия, Томская область, г. Томск, пр. Ленина, д. 30/2, 1-й подъезд, оф. 33;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адрес электронной почты: kontur70@yandex.ru;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18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номер контактного телефона: 8(3822)55-60-06.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/>
          <w:sz w:val="24"/>
          <w:szCs w:val="24"/>
          <w:lang w:val="ru-RU"/>
        </w:rPr>
        <w:t xml:space="preserve">Иванова Светлана Геннадьевна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наименование саморегулируемой организации кадастровых инженеров, членом которой является кадастровый инженер: СРО Союз «Некоммерческое объединение кадастровых инженеров»;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уникальный регистрационный номер члена саморегулируемой организации</w:t>
        <w:br w:type="textWrapping" w:clear="all"/>
        <w:t xml:space="preserve">кадастровых инженеров в реестре членов саморегулируемой организации кадастровых инженеров: 637;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дата внесения сведений о физическом лице в реестр членов саморегулируемой организации кадастровых инженеров: 03.09.2016 г.;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почтовый адрес: 634006, Томская область, г. Томск, ул. Пушкина, д. 52, кв. 8;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адрес электронной почты: Sveta_1125@mail.ru;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numPr>
          <w:ilvl w:val="0"/>
          <w:numId w:val="20"/>
        </w:numPr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номер контактного телефона: +79528920380.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2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2. Правообладатели объектов недв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и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жимости, которые считаются в соответствии с частью 4 статьи 69 Федерального закона от 13 июля 2015 года № 218-ФЗ </w:t>
        <w:br/>
        <w:t xml:space="preserve">«О государственной регистрации недвижимости» ранее учтенными или сведения о которых в соответствии с частью 9 статьи 69 Федерального закона от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13 июля 2015 года № 218-ФЗ </w:t>
        <w:br/>
        <w:t xml:space="preserve">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20"/>
        <w:jc w:val="both"/>
        <w:spacing w:line="272" w:lineRule="atLeast"/>
        <w:shd w:val="clear" w:color="auto" w:fill="ffffff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3. Правообладатели объектов недвижимости – земельных участков, зданий, сооружений, объектов незавершенного строительства в течение тридцати 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рабочих дней со дня опубликования извещения о начале выполнения комплексных кадастровых работ вправе предоставить кадастровым инженерам – исполнителям комплексных кадастровых работ, указанным в пункте 1 извещения, о начале выполнения комплексных кадастровы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2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4. Правообладатели объектов недвижимости, расп</w:t>
      </w: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  <w:r>
        <w:rPr>
          <w:rFonts w:ascii="PT Astra Serif" w:hAnsi="PT Astra Serif" w:cs="PT Astra Serif"/>
          <w:sz w:val="24"/>
          <w:szCs w:val="24"/>
        </w:rPr>
      </w:r>
      <w:r/>
    </w:p>
    <w:p>
      <w:pPr>
        <w:pStyle w:val="870"/>
        <w:ind w:firstLine="720"/>
        <w:jc w:val="both"/>
        <w:spacing w:line="272" w:lineRule="atLeast"/>
        <w:shd w:val="clear" w:color="auto" w:fill="ffffff"/>
        <w:rPr>
          <w:rFonts w:ascii="PT Astra Serif" w:hAnsi="PT Astra Serif" w:cs="PT Astra Serif"/>
          <w:color w:val="000000"/>
          <w:sz w:val="24"/>
          <w:szCs w:val="24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lang w:val="ru-RU"/>
        </w:rPr>
        <w:t xml:space="preserve">5. График выполнения комплексных кадастровых работ:</w:t>
      </w:r>
      <w:r>
        <w:rPr>
          <w:rFonts w:ascii="PT Astra Serif" w:hAnsi="PT Astra Serif" w:cs="PT Astra Serif"/>
          <w:sz w:val="24"/>
          <w:szCs w:val="24"/>
        </w:rPr>
      </w:r>
      <w:r/>
    </w:p>
    <w:tbl>
      <w:tblPr>
        <w:tblW w:w="15719" w:type="dxa"/>
        <w:tblInd w:w="0" w:type="dxa"/>
        <w:shd w:val="clear" w:color="auto" w:fill="ffffff"/>
        <w:tblLayout w:type="autofit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763"/>
        <w:gridCol w:w="3207"/>
        <w:gridCol w:w="4819"/>
        <w:gridCol w:w="320"/>
        <w:gridCol w:w="5610"/>
      </w:tblGrid>
      <w:tr>
        <w:trPr>
          <w:gridAfter w:val="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Время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выполнения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работ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3207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Место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выполнения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работ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Виды работ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  <w:gridAfter w:val="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01 июня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3207" w:type="dxa"/>
            <w:vAlign w:val="center"/>
            <w:vMerge w:val="restart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1.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Российская Федерация, Томская область, Первомайский муниципальный район, Улу-Юльское сельское поселение, поселок Улу-Юл, в границах кадастров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ых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 квартал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ов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 70:12:0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01001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, 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70:12:0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0100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2.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Российская Федерация, Томская область, Первомайский муниципальный район,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Куяновское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сельское поселение,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село Куяново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, в границах кадастров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ого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 квартал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а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 70:12:020001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получение или сбор документов, содержащих необходимые для выполнения комплексных кадастровых работ исходных данных, в объеме, предусмотренном Федеральным законом № 221-ФЗ;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предоставляет Заказчику: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сведения об уведомлении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сведения об адресах и (или) адресах электронной почты правообладателей объектов комплексных кадастровых работ.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  <w:gridAfter w:val="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10 июня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7" w:type="dxa"/>
            <w:vAlign w:val="center"/>
            <w:vMerge w:val="continue"/>
            <w:textDirection w:val="lrTb"/>
            <w:noWrap w:val="false"/>
          </w:tcPr>
          <w:p>
            <w:pPr>
              <w:pStyle w:val="870"/>
              <w:jc w:val="both"/>
              <w:rPr>
                <w:color w:val="000000"/>
                <w:sz w:val="21"/>
                <w:szCs w:val="21"/>
                <w:lang w:val="ru-RU"/>
              </w:rPr>
            </w:pPr>
            <w:r>
              <w:rPr>
                <w:color w:val="000000"/>
                <w:sz w:val="21"/>
                <w:szCs w:val="21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обследование объектов комплексных кадастровых работ, определение их характеристик и местоположения;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мероприятия, предусмотренные п.п. 3, 5.1 п. 2 ст. 42.6 Федерального закона № 221-ФЗ;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3) представление заказчику сведений о внесении в Единый государственный реестр недвижимости сведений, указанных в п.п. 3, 5.1 п. 2 ст. 42.6 Федерального закона № 221-ФЗ.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  <w:gridAfter w:val="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20 июня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7" w:type="dxa"/>
            <w:vAlign w:val="center"/>
            <w:vMerge w:val="continue"/>
            <w:textDirection w:val="lrTb"/>
            <w:noWrap w:val="false"/>
          </w:tcPr>
          <w:p>
            <w:pPr>
              <w:pStyle w:val="870"/>
              <w:jc w:val="both"/>
              <w:rPr>
                <w:color w:val="000000"/>
                <w:sz w:val="21"/>
                <w:szCs w:val="21"/>
                <w:lang w:val="ru-RU"/>
              </w:rPr>
            </w:pPr>
            <w:r>
              <w:rPr>
                <w:color w:val="000000"/>
                <w:sz w:val="21"/>
                <w:szCs w:val="21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подготовку проектов карт-планов территорий в соответствии с Федеральным законом № 221-ФЗ и Приказом № 734;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проверку проектов карт-планов территорий посредством сервиса «Личный кабинет кадастрового инженера» с оформлением протоколов проверки;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3) предоставление заказчику проектов карт-планов территорий, в том числе в форме документов на бумажном носителе;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4) предоставление заказчику сведений 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  <w:gridAfter w:val="2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15 июля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02 сентября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7" w:type="dxa"/>
            <w:vAlign w:val="center"/>
            <w:vMerge w:val="continue"/>
            <w:textDirection w:val="lrTb"/>
            <w:noWrap w:val="false"/>
          </w:tcPr>
          <w:p>
            <w:pPr>
              <w:pStyle w:val="870"/>
              <w:jc w:val="both"/>
              <w:rPr>
                <w:color w:val="000000"/>
                <w:sz w:val="21"/>
                <w:szCs w:val="21"/>
                <w:lang w:val="ru-RU"/>
              </w:rPr>
            </w:pPr>
            <w:r>
              <w:rPr>
                <w:color w:val="000000"/>
                <w:sz w:val="21"/>
                <w:szCs w:val="21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направление проектов карт-планов территорий для анализа пространственных данных в филиал ФГБУ «ФКП Росреестра по Томской области»;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обеспечение исправления замечаний к проектам карт-планов территорий, полученных от филиала ФГБУ «ФКП Росреестра по Томской области» по результатам анализа пространственных данных;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3) приведение проектов карт-планов территорий в соответствие с требованиями государственного кадастрового учета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участие в установленном Федеральным законом № 221-ФЗ порядке в работе согласительной комиссии;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3) повторную проверку проектов карт-планов территорий посредством сервиса «Личный кабинет кадастрового инженера» с оформлением протокола проверки;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4) оформление проектов карт-планов территорий в окончательной редакции и предоставление ее на утверждение заказчику.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  <w:gridAfter w:val="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02 сентября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7" w:type="dxa"/>
            <w:vAlign w:val="center"/>
            <w:vMerge w:val="continue"/>
            <w:textDirection w:val="lrTb"/>
            <w:noWrap w:val="false"/>
          </w:tcPr>
          <w:p>
            <w:pPr>
              <w:pStyle w:val="870"/>
              <w:jc w:val="both"/>
              <w:rPr>
                <w:color w:val="000000"/>
                <w:sz w:val="21"/>
                <w:szCs w:val="21"/>
                <w:lang w:val="ru-RU"/>
              </w:rPr>
            </w:pPr>
            <w:r>
              <w:rPr>
                <w:color w:val="000000"/>
                <w:sz w:val="21"/>
                <w:szCs w:val="21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Заказчиком обеспечивается утверждение карт-планов территорий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320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>
          <w:cantSplit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1763" w:type="auto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До 01 октября 2024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7" w:type="dxa"/>
            <w:vAlign w:val="center"/>
            <w:vMerge w:val="continue"/>
            <w:textDirection w:val="lrTb"/>
            <w:noWrap w:val="false"/>
          </w:tcPr>
          <w:p>
            <w:pPr>
              <w:pStyle w:val="870"/>
              <w:jc w:val="both"/>
              <w:rPr>
                <w:color w:val="000000"/>
                <w:sz w:val="21"/>
                <w:szCs w:val="21"/>
                <w:lang w:val="ru-RU"/>
              </w:rPr>
            </w:pPr>
            <w:r>
              <w:rPr>
                <w:color w:val="000000"/>
                <w:sz w:val="21"/>
                <w:szCs w:val="21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0" w:type="dxa"/>
              <w:top w:w="135" w:type="dxa"/>
              <w:right w:w="150" w:type="dxa"/>
              <w:bottom w:w="135" w:type="dxa"/>
            </w:tcMar>
            <w:tcW w:w="4819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 подготовку карт-планов территорий в форме электронного документа для предоставления в Управление Росреестра по Томской области;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Заказчик осуществляет представление совместно с исполнителем карт-планов территорий в Управление Росреестра по Томской области для внесения сведений, содержащихся в карт-планах территорий, в Единый государственный реестр недвижимости;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Исполнитель осуществляет: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1) сопровождение процедуры в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несения сведений, содержащихся в карт-планах территорий, в Единый государственный реестр недвижимости, в том числе доработку материалов при наличии замечаний Управления Росреестра по Томской области и (или) филиала ФГБУ «ФКП Росреестра по Томской области»;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2) сдачу заказчику результатов работ, указанных в настоящем разделе и карт-планов те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lang w:val="ru-RU"/>
              </w:rPr>
              <w:t xml:space="preserve">рриторий, подготовленных в установленном Федеральным законом № 221-ФЗ и Федеральным законом № 218-ФЗ порядке, утвержденных заказчиком, и внесенных в Единый государственный реестр недвижимости соответствующих сведений, содержащихся в карт-планах территорий.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  <w:tc>
          <w:tcPr>
            <w:gridSpan w:val="2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30" w:type="dxa"/>
            <w:vAlign w:val="center"/>
            <w:textDirection w:val="lrTb"/>
            <w:noWrap w:val="false"/>
          </w:tcPr>
          <w:p>
            <w:pPr>
              <w:pStyle w:val="870"/>
              <w:jc w:val="both"/>
              <w:spacing w:line="272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</w:tbl>
    <w:p>
      <w:pPr>
        <w:spacing w:line="272" w:lineRule="atLeast"/>
        <w:rPr>
          <w:sz w:val="24"/>
          <w:szCs w:val="24"/>
        </w:rPr>
      </w:pPr>
      <w:r>
        <w:rPr>
          <w:sz w:val="24"/>
          <w:szCs w:val="24"/>
        </w:rPr>
      </w:r>
      <w:r/>
    </w:p>
    <w:sectPr>
      <w:headerReference w:type="default" r:id="rId9"/>
      <w:footnotePr/>
      <w:endnotePr/>
      <w:type w:val="nextPage"/>
      <w:pgSz w:w="11909" w:h="16834" w:orient="portrait"/>
      <w:pgMar w:top="851" w:right="851" w:bottom="851" w:left="1418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Segoe UI">
    <w:panose1 w:val="020B0502040504020204"/>
  </w:font>
  <w:font w:name="timeset">
    <w:panose1 w:val="02000603000000000000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ru-RU"/>
      </w:rPr>
      <w:t xml:space="preserve">2</w:t>
    </w:r>
    <w:r>
      <w:fldChar w:fldCharType="end"/>
    </w:r>
    <w:r/>
  </w:p>
  <w:p>
    <w:pPr>
      <w:pStyle w:val="88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87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1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2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3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4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5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6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7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  <w:lvl w:ilvl="8">
      <w:start w:val="1"/>
      <w:numFmt w:val="bullet"/>
      <w:isLgl w:val="false"/>
      <w:suff w:val="tab"/>
      <w:lvlText w:val="-"/>
      <w:lvlJc w:val="left"/>
      <w:pPr>
        <w:pStyle w:val="870"/>
      </w:pPr>
      <w:rPr>
        <w:rFonts w:ascii="Times New Roman" w:hAnsi="Times New Roman"/>
        <w:color w:val="000000"/>
        <w:spacing w:val="2"/>
        <w:position w:val="0"/>
        <w:sz w:val="22"/>
        <w:u w:val="none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1155" w:hanging="360"/>
        <w:tabs>
          <w:tab w:val="num" w:pos="1155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875" w:hanging="360"/>
        <w:tabs>
          <w:tab w:val="num" w:pos="187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595" w:hanging="360"/>
        <w:tabs>
          <w:tab w:val="num" w:pos="259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315" w:hanging="360"/>
        <w:tabs>
          <w:tab w:val="num" w:pos="331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035" w:hanging="360"/>
        <w:tabs>
          <w:tab w:val="num" w:pos="403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755" w:hanging="360"/>
        <w:tabs>
          <w:tab w:val="num" w:pos="475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475" w:hanging="360"/>
        <w:tabs>
          <w:tab w:val="num" w:pos="547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195" w:hanging="360"/>
        <w:tabs>
          <w:tab w:val="num" w:pos="619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915" w:hanging="360"/>
        <w:tabs>
          <w:tab w:val="num" w:pos="6915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0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870"/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70"/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70"/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70"/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70"/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70"/>
        <w:ind w:left="1080" w:hanging="1080"/>
        <w:tabs>
          <w:tab w:val="num" w:pos="10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70"/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70"/>
        <w:ind w:left="1440" w:hanging="1440"/>
        <w:tabs>
          <w:tab w:val="num" w:pos="144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454" w:hanging="341"/>
        <w:tabs>
          <w:tab w:val="num" w:pos="567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"/>
      <w:lvlJc w:val="left"/>
      <w:pPr>
        <w:pStyle w:val="870"/>
        <w:ind w:left="1440" w:hanging="360"/>
        <w:tabs>
          <w:tab w:val="num" w:pos="1440" w:leader="none"/>
        </w:tabs>
      </w:pPr>
      <w:rPr>
        <w:rFonts w:ascii="Symbol" w:hAnsi="Symbol"/>
        <w:sz w:val="16"/>
        <w:szCs w:val="16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1162" w:hanging="341"/>
        <w:tabs>
          <w:tab w:val="num" w:pos="1275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2148" w:hanging="360"/>
        <w:tabs>
          <w:tab w:val="num" w:pos="2148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868" w:hanging="360"/>
        <w:tabs>
          <w:tab w:val="num" w:pos="286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588" w:hanging="360"/>
        <w:tabs>
          <w:tab w:val="num" w:pos="358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308" w:hanging="360"/>
        <w:tabs>
          <w:tab w:val="num" w:pos="4308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5028" w:hanging="360"/>
        <w:tabs>
          <w:tab w:val="num" w:pos="502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748" w:hanging="360"/>
        <w:tabs>
          <w:tab w:val="num" w:pos="574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468" w:hanging="360"/>
        <w:tabs>
          <w:tab w:val="num" w:pos="6468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7188" w:hanging="360"/>
        <w:tabs>
          <w:tab w:val="num" w:pos="7188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1049" w:hanging="341"/>
        <w:tabs>
          <w:tab w:val="num" w:pos="1162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2035" w:hanging="360"/>
        <w:tabs>
          <w:tab w:val="num" w:pos="203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755" w:hanging="360"/>
        <w:tabs>
          <w:tab w:val="num" w:pos="275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475" w:hanging="360"/>
        <w:tabs>
          <w:tab w:val="num" w:pos="347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195" w:hanging="360"/>
        <w:tabs>
          <w:tab w:val="num" w:pos="419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915" w:hanging="360"/>
        <w:tabs>
          <w:tab w:val="num" w:pos="491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635" w:hanging="360"/>
        <w:tabs>
          <w:tab w:val="num" w:pos="563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355" w:hanging="360"/>
        <w:tabs>
          <w:tab w:val="num" w:pos="635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7075" w:hanging="360"/>
        <w:tabs>
          <w:tab w:val="num" w:pos="7075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454" w:hanging="341"/>
        <w:tabs>
          <w:tab w:val="num" w:pos="567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87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200" w:hanging="360"/>
        <w:tabs>
          <w:tab w:val="num" w:pos="120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1920" w:hanging="360"/>
        <w:tabs>
          <w:tab w:val="num" w:pos="19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640" w:hanging="360"/>
        <w:tabs>
          <w:tab w:val="num" w:pos="26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360" w:hanging="360"/>
        <w:tabs>
          <w:tab w:val="num" w:pos="336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080" w:hanging="360"/>
        <w:tabs>
          <w:tab w:val="num" w:pos="40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4800" w:hanging="360"/>
        <w:tabs>
          <w:tab w:val="num" w:pos="48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520" w:hanging="360"/>
        <w:tabs>
          <w:tab w:val="num" w:pos="552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240" w:hanging="360"/>
        <w:tabs>
          <w:tab w:val="num" w:pos="624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454" w:hanging="341"/>
        <w:tabs>
          <w:tab w:val="num" w:pos="567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70"/>
        <w:ind w:left="1845" w:hanging="360"/>
        <w:tabs>
          <w:tab w:val="num" w:pos="1845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2565" w:hanging="360"/>
        <w:tabs>
          <w:tab w:val="num" w:pos="2565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3285" w:hanging="360"/>
        <w:tabs>
          <w:tab w:val="num" w:pos="328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4005" w:hanging="360"/>
        <w:tabs>
          <w:tab w:val="num" w:pos="400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725" w:hanging="360"/>
        <w:tabs>
          <w:tab w:val="num" w:pos="4725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5445" w:hanging="360"/>
        <w:tabs>
          <w:tab w:val="num" w:pos="544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6165" w:hanging="360"/>
        <w:tabs>
          <w:tab w:val="num" w:pos="616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885" w:hanging="360"/>
        <w:tabs>
          <w:tab w:val="num" w:pos="6885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7605" w:hanging="360"/>
        <w:tabs>
          <w:tab w:val="num" w:pos="7605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pStyle w:val="870"/>
        <w:ind w:left="1061" w:hanging="341"/>
        <w:tabs>
          <w:tab w:val="num" w:pos="1174" w:leader="none"/>
        </w:tabs>
      </w:pPr>
      <w:rPr>
        <w:rFonts w:ascii="Wingdings" w:hAnsi="Wingdings"/>
        <w:sz w:val="16"/>
        <w:szCs w:val="16"/>
      </w:r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2047" w:hanging="360"/>
        <w:tabs>
          <w:tab w:val="num" w:pos="204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767" w:hanging="360"/>
        <w:tabs>
          <w:tab w:val="num" w:pos="2767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487" w:hanging="360"/>
        <w:tabs>
          <w:tab w:val="num" w:pos="3487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4207" w:hanging="360"/>
        <w:tabs>
          <w:tab w:val="num" w:pos="420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927" w:hanging="360"/>
        <w:tabs>
          <w:tab w:val="num" w:pos="4927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647" w:hanging="360"/>
        <w:tabs>
          <w:tab w:val="num" w:pos="5647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367" w:hanging="360"/>
        <w:tabs>
          <w:tab w:val="num" w:pos="636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7087" w:hanging="360"/>
        <w:tabs>
          <w:tab w:val="num" w:pos="7087" w:leader="none"/>
        </w:tabs>
      </w:pPr>
      <w:rPr>
        <w:rFonts w:ascii="Wingdings" w:hAnsi="Wingdings"/>
      </w:rPr>
    </w:lvl>
  </w:abstractNum>
  <w:abstractNum w:abstractNumId="16">
    <w:multiLevelType w:val="hybridMultilevel"/>
    <w:lvl w:ilvl="0">
      <w:start w:val="3"/>
      <w:numFmt w:val="bullet"/>
      <w:isLgl w:val="false"/>
      <w:suff w:val="tab"/>
      <w:lvlText w:val="-"/>
      <w:lvlJc w:val="left"/>
      <w:pPr>
        <w:pStyle w:val="870"/>
        <w:ind w:left="898" w:hanging="360"/>
        <w:tabs>
          <w:tab w:val="num" w:pos="898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870"/>
        <w:ind w:left="1738" w:hanging="360"/>
        <w:tabs>
          <w:tab w:val="num" w:pos="1738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0"/>
        <w:ind w:left="2458" w:hanging="360"/>
        <w:tabs>
          <w:tab w:val="num" w:pos="245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0"/>
        <w:ind w:left="3178" w:hanging="360"/>
        <w:tabs>
          <w:tab w:val="num" w:pos="317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0"/>
        <w:ind w:left="3898" w:hanging="360"/>
        <w:tabs>
          <w:tab w:val="num" w:pos="3898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0"/>
        <w:ind w:left="4618" w:hanging="360"/>
        <w:tabs>
          <w:tab w:val="num" w:pos="461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0"/>
        <w:ind w:left="5338" w:hanging="360"/>
        <w:tabs>
          <w:tab w:val="num" w:pos="533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0"/>
        <w:ind w:left="6058" w:hanging="360"/>
        <w:tabs>
          <w:tab w:val="num" w:pos="6058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0"/>
        <w:ind w:left="6778" w:hanging="360"/>
        <w:tabs>
          <w:tab w:val="num" w:pos="6778" w:leader="none"/>
        </w:tabs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•"/>
        <w:legacy w:legacy="1" w:legacyIndent="0" w:legacySpace="0"/>
        <w:lvlJc w:val="left"/>
        <w:pPr>
          <w:pStyle w:val="870"/>
        </w:pPr>
        <w:rPr>
          <w:rFonts w:ascii="Times New Roman" w:hAnsi="Times New Roman" w:cs="Times New Roman"/>
        </w:rPr>
      </w:lvl>
    </w:lvlOverride>
  </w:num>
  <w:num w:numId="2">
    <w:abstractNumId w:val="16"/>
  </w:num>
  <w:num w:numId="3">
    <w:abstractNumId w:val="11"/>
  </w:num>
  <w:num w:numId="4">
    <w:abstractNumId w:val="2"/>
  </w:num>
  <w:num w:numId="5">
    <w:abstractNumId w:val="14"/>
  </w:num>
  <w:num w:numId="6">
    <w:abstractNumId w:val="5"/>
  </w:num>
  <w:num w:numId="7">
    <w:abstractNumId w:val="6"/>
  </w:num>
  <w:num w:numId="8">
    <w:abstractNumId w:val="12"/>
  </w:num>
  <w:num w:numId="9">
    <w:abstractNumId w:val="10"/>
  </w:num>
  <w:num w:numId="10">
    <w:abstractNumId w:val="4"/>
  </w:num>
  <w:num w:numId="11">
    <w:abstractNumId w:val="8"/>
  </w:num>
  <w:num w:numId="12">
    <w:abstractNumId w:val="7"/>
  </w:num>
  <w:num w:numId="13">
    <w:abstractNumId w:val="15"/>
  </w:num>
  <w:num w:numId="14">
    <w:abstractNumId w:val="13"/>
  </w:num>
  <w:num w:numId="15">
    <w:abstractNumId w:val="3"/>
  </w:num>
  <w:num w:numId="16">
    <w:abstractNumId w:val="9"/>
  </w:num>
  <w:num w:numId="17">
    <w:abstractNumId w:val="1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70"/>
    <w:next w:val="870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70"/>
    <w:next w:val="870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70"/>
    <w:next w:val="870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70"/>
    <w:next w:val="870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70"/>
    <w:next w:val="870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70"/>
    <w:next w:val="870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70"/>
    <w:next w:val="870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70"/>
    <w:next w:val="870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70"/>
    <w:next w:val="870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70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70"/>
    <w:next w:val="870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>
    <w:name w:val="Title Char"/>
    <w:link w:val="712"/>
    <w:uiPriority w:val="10"/>
    <w:rPr>
      <w:sz w:val="48"/>
      <w:szCs w:val="48"/>
    </w:rPr>
  </w:style>
  <w:style w:type="paragraph" w:styleId="714">
    <w:name w:val="Subtitle"/>
    <w:basedOn w:val="870"/>
    <w:next w:val="870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link w:val="714"/>
    <w:uiPriority w:val="11"/>
    <w:rPr>
      <w:sz w:val="24"/>
      <w:szCs w:val="24"/>
    </w:rPr>
  </w:style>
  <w:style w:type="paragraph" w:styleId="716">
    <w:name w:val="Quote"/>
    <w:basedOn w:val="870"/>
    <w:next w:val="870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70"/>
    <w:next w:val="870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paragraph" w:styleId="720">
    <w:name w:val="Header"/>
    <w:basedOn w:val="870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Header Char"/>
    <w:link w:val="720"/>
    <w:uiPriority w:val="99"/>
  </w:style>
  <w:style w:type="paragraph" w:styleId="722">
    <w:name w:val="Footer"/>
    <w:basedOn w:val="870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Footer Char"/>
    <w:link w:val="722"/>
    <w:uiPriority w:val="99"/>
  </w:style>
  <w:style w:type="paragraph" w:styleId="724">
    <w:name w:val="Caption"/>
    <w:basedOn w:val="870"/>
    <w:next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</w:style>
  <w:style w:type="table" w:styleId="72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000ff" w:themeColor="hyperlink"/>
      <w:u w:val="single"/>
    </w:rPr>
  </w:style>
  <w:style w:type="paragraph" w:styleId="853">
    <w:name w:val="footnote text"/>
    <w:basedOn w:val="87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uiPriority w:val="99"/>
    <w:unhideWhenUsed/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next w:val="870"/>
    <w:link w:val="870"/>
    <w:qFormat/>
    <w:rPr>
      <w:lang w:val="en-GB" w:eastAsia="ru-RU" w:bidi="ar-SA"/>
    </w:rPr>
  </w:style>
  <w:style w:type="paragraph" w:styleId="871">
    <w:name w:val="Заголовок 1"/>
    <w:basedOn w:val="870"/>
    <w:next w:val="870"/>
    <w:link w:val="870"/>
    <w:qFormat/>
    <w:pPr>
      <w:jc w:val="center"/>
      <w:keepNext/>
      <w:spacing w:line="340" w:lineRule="exact"/>
      <w:outlineLvl w:val="0"/>
    </w:pPr>
    <w:rPr>
      <w:b/>
      <w:sz w:val="32"/>
      <w:lang w:val="ru-RU"/>
    </w:rPr>
  </w:style>
  <w:style w:type="character" w:styleId="872">
    <w:name w:val="Основной шрифт абзаца"/>
    <w:next w:val="872"/>
    <w:link w:val="870"/>
    <w:semiHidden/>
  </w:style>
  <w:style w:type="table" w:styleId="873">
    <w:name w:val="Обычная таблица"/>
    <w:next w:val="873"/>
    <w:link w:val="870"/>
    <w:semiHidden/>
    <w:tblPr/>
  </w:style>
  <w:style w:type="numbering" w:styleId="874">
    <w:name w:val="Нет списка"/>
    <w:next w:val="874"/>
    <w:link w:val="870"/>
    <w:semiHidden/>
  </w:style>
  <w:style w:type="table" w:styleId="875">
    <w:name w:val="Сетка таблицы"/>
    <w:basedOn w:val="873"/>
    <w:next w:val="875"/>
    <w:link w:val="870"/>
    <w:tblPr/>
  </w:style>
  <w:style w:type="paragraph" w:styleId="876">
    <w:name w:val="Текст"/>
    <w:basedOn w:val="870"/>
    <w:next w:val="876"/>
    <w:link w:val="870"/>
    <w:rPr>
      <w:rFonts w:ascii="TimesET" w:hAnsi="TimesET" w:eastAsia="TimesET"/>
      <w:lang w:val="ru-RU"/>
    </w:rPr>
  </w:style>
  <w:style w:type="character" w:styleId="877">
    <w:name w:val="Знак сноски"/>
    <w:next w:val="877"/>
    <w:link w:val="870"/>
    <w:semiHidden/>
    <w:rPr>
      <w:vertAlign w:val="superscript"/>
    </w:rPr>
  </w:style>
  <w:style w:type="paragraph" w:styleId="878">
    <w:name w:val="Текст сноски"/>
    <w:basedOn w:val="870"/>
    <w:next w:val="878"/>
    <w:link w:val="870"/>
    <w:semiHidden/>
    <w:pPr>
      <w:widowControl w:val="off"/>
    </w:pPr>
    <w:rPr>
      <w:rFonts w:ascii="TimesET" w:hAnsi="TimesET" w:eastAsia="TimesET"/>
      <w:lang w:val="ru-RU"/>
    </w:rPr>
  </w:style>
  <w:style w:type="paragraph" w:styleId="879">
    <w:name w:val="ConsPlusNormal"/>
    <w:next w:val="879"/>
    <w:link w:val="870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880">
    <w:name w:val="Нижний колонтитул"/>
    <w:basedOn w:val="870"/>
    <w:next w:val="880"/>
    <w:link w:val="870"/>
    <w:pPr>
      <w:tabs>
        <w:tab w:val="center" w:pos="4677" w:leader="none"/>
        <w:tab w:val="right" w:pos="9355" w:leader="none"/>
      </w:tabs>
    </w:pPr>
  </w:style>
  <w:style w:type="character" w:styleId="881">
    <w:name w:val="Номер страницы"/>
    <w:basedOn w:val="872"/>
    <w:next w:val="881"/>
    <w:link w:val="870"/>
  </w:style>
  <w:style w:type="paragraph" w:styleId="882">
    <w:name w:val="Верхний колонтитул"/>
    <w:basedOn w:val="870"/>
    <w:next w:val="882"/>
    <w:link w:val="888"/>
    <w:uiPriority w:val="99"/>
    <w:pPr>
      <w:tabs>
        <w:tab w:val="center" w:pos="4677" w:leader="none"/>
        <w:tab w:val="right" w:pos="9355" w:leader="none"/>
      </w:tabs>
    </w:pPr>
  </w:style>
  <w:style w:type="paragraph" w:styleId="883">
    <w:name w:val="ConsNormal"/>
    <w:next w:val="883"/>
    <w:link w:val="870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884">
    <w:name w:val="Основной текст"/>
    <w:basedOn w:val="870"/>
    <w:next w:val="884"/>
    <w:link w:val="885"/>
    <w:uiPriority w:val="99"/>
    <w:pPr>
      <w:ind w:hanging="360"/>
      <w:jc w:val="both"/>
      <w:spacing w:before="480" w:after="480" w:line="278" w:lineRule="exact"/>
      <w:shd w:val="clear" w:color="auto" w:fill="ffffff"/>
      <w:widowControl w:val="off"/>
    </w:pPr>
    <w:rPr>
      <w:spacing w:val="2"/>
      <w:sz w:val="22"/>
      <w:szCs w:val="22"/>
      <w:lang w:val="ru-RU"/>
    </w:rPr>
  </w:style>
  <w:style w:type="character" w:styleId="885">
    <w:name w:val="Основной текст Знак"/>
    <w:next w:val="885"/>
    <w:link w:val="884"/>
    <w:uiPriority w:val="99"/>
    <w:rPr>
      <w:spacing w:val="2"/>
      <w:sz w:val="22"/>
      <w:szCs w:val="22"/>
      <w:shd w:val="clear" w:color="auto" w:fill="ffffff"/>
    </w:rPr>
  </w:style>
  <w:style w:type="paragraph" w:styleId="886">
    <w:name w:val="Текст выноски"/>
    <w:basedOn w:val="870"/>
    <w:next w:val="886"/>
    <w:link w:val="887"/>
    <w:rPr>
      <w:rFonts w:ascii="Segoe UI" w:hAnsi="Segoe UI" w:cs="Segoe UI"/>
      <w:sz w:val="18"/>
      <w:szCs w:val="18"/>
    </w:rPr>
  </w:style>
  <w:style w:type="character" w:styleId="887">
    <w:name w:val="Текст выноски Знак"/>
    <w:next w:val="887"/>
    <w:link w:val="886"/>
    <w:rPr>
      <w:rFonts w:ascii="Segoe UI" w:hAnsi="Segoe UI" w:cs="Segoe UI"/>
      <w:sz w:val="18"/>
      <w:szCs w:val="18"/>
      <w:lang w:val="en-GB"/>
    </w:rPr>
  </w:style>
  <w:style w:type="character" w:styleId="888">
    <w:name w:val="Верхний колонтитул Знак"/>
    <w:next w:val="888"/>
    <w:link w:val="882"/>
    <w:uiPriority w:val="99"/>
    <w:rPr>
      <w:lang w:val="en-GB"/>
    </w:rPr>
  </w:style>
  <w:style w:type="paragraph" w:styleId="889">
    <w:name w:val="Обычный (веб)"/>
    <w:basedOn w:val="870"/>
    <w:next w:val="889"/>
    <w:link w:val="870"/>
    <w:uiPriority w:val="99"/>
    <w:unhideWhenUsed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890">
    <w:name w:val="Гиперссылка"/>
    <w:next w:val="890"/>
    <w:link w:val="870"/>
    <w:uiPriority w:val="99"/>
    <w:unhideWhenUsed/>
    <w:rPr>
      <w:color w:val="0000ff"/>
      <w:u w:val="single"/>
    </w:rPr>
  </w:style>
  <w:style w:type="character" w:styleId="891" w:default="1">
    <w:name w:val="Default Paragraph Font"/>
    <w:uiPriority w:val="1"/>
    <w:semiHidden/>
    <w:unhideWhenUsed/>
  </w:style>
  <w:style w:type="numbering" w:styleId="892" w:default="1">
    <w:name w:val="No List"/>
    <w:uiPriority w:val="99"/>
    <w:semiHidden/>
    <w:unhideWhenUsed/>
  </w:style>
  <w:style w:type="table" w:styleId="89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>***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на главного инженера МУП «Первомайское» Терентьева Владимира Дмитриевича</dc:title>
  <dc:creator>Администратор</dc:creator>
  <cp:revision>4</cp:revision>
  <dcterms:created xsi:type="dcterms:W3CDTF">2024-03-28T08:45:00Z</dcterms:created>
  <dcterms:modified xsi:type="dcterms:W3CDTF">2024-04-03T10:38:21Z</dcterms:modified>
  <cp:version>1048576</cp:version>
</cp:coreProperties>
</file>