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152FDA" w:rsidRDefault="00152FDA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152FDA">
        <w:rPr>
          <w:rFonts w:ascii="PT Astra Serif" w:hAnsi="PT Astra Serif"/>
          <w:sz w:val="28"/>
          <w:szCs w:val="28"/>
        </w:rPr>
        <w:t>Решением Томского областного суда от 24.04.2018 по делу № 3а-20/2018 отказано в удовлетворении административного искового заявления (информация скрыта) о признании недействующим в части п. 523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№ 85-О от 29.11.2017 «Об определении перечня объектов для целей налогообложения на 2018 год».</w:t>
      </w:r>
      <w:proofErr w:type="gramEnd"/>
      <w:r w:rsidRPr="00152FDA">
        <w:rPr>
          <w:rFonts w:ascii="PT Astra Serif" w:hAnsi="PT Astra Serif"/>
          <w:sz w:val="28"/>
          <w:szCs w:val="28"/>
        </w:rPr>
        <w:t xml:space="preserve"> Апелляционным определением Верховного суда Российской Федерации от 19.09.2018 решение суда первой инстанции оставлено без изменения.</w:t>
      </w:r>
    </w:p>
    <w:sectPr w:rsidR="0015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B3308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2023-08-24T07:11:00Z</dcterms:created>
  <dcterms:modified xsi:type="dcterms:W3CDTF">2023-08-24T07:11:00Z</dcterms:modified>
</cp:coreProperties>
</file>