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A27F49" w:rsidRDefault="00A27F49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A27F49">
        <w:rPr>
          <w:rFonts w:ascii="PT Astra Serif" w:hAnsi="PT Astra Serif"/>
          <w:sz w:val="28"/>
          <w:szCs w:val="28"/>
        </w:rPr>
        <w:t>Решением Томского областного суда от 24.06.2022 по делу № 3а-146/2022 удовлетворено заявление ООО «</w:t>
      </w:r>
      <w:proofErr w:type="spellStart"/>
      <w:r w:rsidRPr="00A27F49">
        <w:rPr>
          <w:rFonts w:ascii="PT Astra Serif" w:hAnsi="PT Astra Serif"/>
          <w:sz w:val="28"/>
          <w:szCs w:val="28"/>
        </w:rPr>
        <w:t>Ньюком</w:t>
      </w:r>
      <w:proofErr w:type="spellEnd"/>
      <w:r w:rsidRPr="00A27F49">
        <w:rPr>
          <w:rFonts w:ascii="PT Astra Serif" w:hAnsi="PT Astra Serif"/>
          <w:sz w:val="28"/>
          <w:szCs w:val="28"/>
        </w:rPr>
        <w:t>» к Департаменту по управлению государственной собственностью Томской области о признании недействующими со дня принятия пункты 146 и 147 Перечня объектов для целей налогообложения на 2019 год, утвержденного распоряжением Департамента от 29.11.2018 № 105-о; о признании недействующим со дня принятия пункт 2729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99-о.</w:t>
      </w:r>
    </w:p>
    <w:sectPr w:rsidR="00A27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27F49"/>
    <w:rsid w:val="00AE132E"/>
    <w:rsid w:val="00AE6356"/>
    <w:rsid w:val="00B45545"/>
    <w:rsid w:val="00B549B5"/>
    <w:rsid w:val="00B7678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2023-08-24T02:33:00Z</dcterms:created>
  <dcterms:modified xsi:type="dcterms:W3CDTF">2023-08-24T02:33:00Z</dcterms:modified>
</cp:coreProperties>
</file>