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8"/>
        <w:jc w:val="center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Информация о дате, месте и времени проведения второго этапа конкурса на включение в кадровый резерв Департамента профессионального образования Томской области для замещения должностей государственной гражданской службы Томской области</w:t>
      </w:r>
      <w:r>
        <w:rPr>
          <w:rFonts w:ascii="PT Astra Serif" w:hAnsi="PT Astra Serif"/>
          <w:b/>
          <w:i/>
          <w:sz w:val="26"/>
          <w:szCs w:val="26"/>
          <w:highlight w:val="white"/>
        </w:rPr>
        <w:t xml:space="preserve"> главной группы</w:t>
      </w:r>
      <w:r>
        <w:rPr>
          <w:rFonts w:ascii="PT Astra Serif" w:hAnsi="PT Astra Serif"/>
          <w:sz w:val="26"/>
          <w:szCs w:val="26"/>
          <w:highlight w:val="white"/>
        </w:rPr>
        <w:t xml:space="preserve"> </w:t>
      </w:r>
      <w:r>
        <w:rPr>
          <w:highlight w:val="white"/>
        </w:rPr>
      </w:r>
      <w:r/>
    </w:p>
    <w:p>
      <w:pPr>
        <w:pStyle w:val="818"/>
        <w:jc w:val="center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</w:r>
      <w:r>
        <w:rPr>
          <w:highlight w:val="white"/>
        </w:rPr>
      </w:r>
      <w:r/>
    </w:p>
    <w:p>
      <w:pPr>
        <w:pStyle w:val="818"/>
        <w:jc w:val="center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</w:r>
      <w:r>
        <w:rPr>
          <w:highlight w:val="white"/>
        </w:rPr>
      </w:r>
      <w:r/>
    </w:p>
    <w:p>
      <w:pPr>
        <w:ind w:firstLine="567"/>
        <w:jc w:val="both"/>
        <w:tabs>
          <w:tab w:val="num" w:pos="709" w:leader="none"/>
        </w:tabs>
      </w:pP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1. Тестирование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, которое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 будет проходить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u w:val="none"/>
        </w:rPr>
        <w:t xml:space="preserve"> </w:t>
      </w:r>
      <w:r>
        <w:rPr>
          <w:rFonts w:ascii="PT Astra Serif" w:hAnsi="PT Astra Serif" w:eastAsia="PT Astra Serif" w:cs="PT Astra Serif"/>
          <w:b/>
          <w:sz w:val="26"/>
          <w:szCs w:val="26"/>
          <w:highlight w:val="white"/>
          <w:u w:val="none"/>
        </w:rPr>
        <w:t xml:space="preserve">01.12</w:t>
      </w:r>
      <w:r>
        <w:rPr>
          <w:rFonts w:ascii="PT Astra Serif" w:hAnsi="PT Astra Serif" w:eastAsia="PT Astra Serif" w:cs="PT Astra Serif"/>
          <w:b/>
          <w:sz w:val="26"/>
          <w:szCs w:val="26"/>
          <w:highlight w:val="white"/>
          <w:u w:val="none"/>
        </w:rPr>
        <w:t xml:space="preserve">.202</w:t>
      </w:r>
      <w:r>
        <w:rPr>
          <w:rFonts w:ascii="PT Astra Serif" w:hAnsi="PT Astra Serif" w:eastAsia="PT Astra Serif" w:cs="PT Astra Serif"/>
          <w:b/>
          <w:sz w:val="26"/>
          <w:szCs w:val="26"/>
          <w:highlight w:val="white"/>
          <w:u w:val="none"/>
        </w:rPr>
        <w:t xml:space="preserve">2</w:t>
      </w:r>
      <w:r>
        <w:rPr>
          <w:rFonts w:ascii="PT Astra Serif" w:hAnsi="PT Astra Serif" w:eastAsia="PT Astra Serif" w:cs="PT Astra Serif"/>
          <w:b/>
          <w:sz w:val="26"/>
          <w:szCs w:val="26"/>
          <w:highlight w:val="white"/>
          <w:u w:val="none"/>
        </w:rPr>
        <w:t xml:space="preserve"> </w:t>
      </w:r>
      <w:r>
        <w:rPr>
          <w:rFonts w:ascii="PT Astra Serif" w:hAnsi="PT Astra Serif" w:eastAsia="PT Astra Serif" w:cs="PT Astra Serif"/>
          <w:b/>
          <w:iCs/>
          <w:sz w:val="26"/>
          <w:szCs w:val="26"/>
          <w:highlight w:val="white"/>
          <w:u w:val="none"/>
        </w:rPr>
        <w:t xml:space="preserve">с 10.00</w:t>
      </w:r>
      <w:r>
        <w:rPr>
          <w:rFonts w:ascii="PT Astra Serif" w:hAnsi="PT Astra Serif" w:eastAsia="PT Astra Serif" w:cs="PT Astra Serif"/>
          <w:b/>
          <w:iCs/>
          <w:sz w:val="26"/>
          <w:szCs w:val="26"/>
          <w:highlight w:val="white"/>
          <w:u w:val="none"/>
        </w:rPr>
        <w:t xml:space="preserve"> </w:t>
      </w:r>
      <w:r>
        <w:rPr>
          <w:rFonts w:ascii="PT Astra Serif" w:hAnsi="PT Astra Serif" w:eastAsia="PT Astra Serif" w:cs="PT Astra Serif"/>
          <w:iCs/>
          <w:sz w:val="26"/>
          <w:szCs w:val="26"/>
          <w:highlight w:val="white"/>
          <w:u w:val="none"/>
        </w:rPr>
        <w:t xml:space="preserve">п</w:t>
      </w:r>
      <w:r>
        <w:rPr>
          <w:rFonts w:ascii="PT Astra Serif" w:hAnsi="PT Astra Serif" w:eastAsia="PT Astra Serif" w:cs="PT Astra Serif"/>
          <w:iCs/>
          <w:sz w:val="26"/>
          <w:szCs w:val="26"/>
          <w:highlight w:val="none"/>
          <w:u w:val="none"/>
        </w:rPr>
        <w:t xml:space="preserve">о адресу: г.Томск, пр.Ки</w:t>
      </w:r>
      <w:r>
        <w:rPr>
          <w:rFonts w:ascii="PT Astra Serif" w:hAnsi="PT Astra Serif" w:eastAsia="PT Astra Serif" w:cs="PT Astra Serif"/>
          <w:iCs/>
          <w:sz w:val="26"/>
          <w:szCs w:val="26"/>
          <w:highlight w:val="none"/>
        </w:rPr>
        <w:t xml:space="preserve">рова 58, стр. 55, этаж 4 </w:t>
      </w:r>
      <w:r>
        <w:rPr>
          <w:rFonts w:ascii="PT Astra Serif" w:hAnsi="PT Astra Serif" w:eastAsia="PT Astra Serif" w:cs="PT Astra Serif"/>
          <w:sz w:val="28"/>
          <w:szCs w:val="28"/>
          <w:highlight w:val="none"/>
          <w:lang w:eastAsia="ru-RU"/>
        </w:rPr>
        <w:t xml:space="preserve">(ОГБУ «Томский региональный ресурсный центр»)</w:t>
      </w:r>
      <w:r>
        <w:rPr>
          <w:rFonts w:ascii="PT Astra Serif" w:hAnsi="PT Astra Serif" w:eastAsia="PT Astra Serif" w:cs="PT Astra Serif"/>
          <w:iCs/>
          <w:sz w:val="26"/>
          <w:szCs w:val="26"/>
          <w:highlight w:val="none"/>
        </w:rPr>
        <w:t xml:space="preserve">, </w:t>
      </w:r>
      <w:r>
        <w:rPr>
          <w:rFonts w:ascii="PT Astra Serif" w:hAnsi="PT Astra Serif" w:eastAsia="PT Astra Serif" w:cs="PT Astra Serif"/>
          <w:iCs/>
          <w:sz w:val="26"/>
          <w:szCs w:val="26"/>
          <w:highlight w:val="none"/>
          <w:u w:val="single"/>
        </w:rPr>
        <w:t xml:space="preserve">при себе необходимо иметь паспорт.</w:t>
      </w:r>
      <w:r>
        <w:rPr>
          <w:rFonts w:ascii="PT Astra Serif" w:hAnsi="PT Astra Serif" w:eastAsia="PT Astra Serif" w:cs="PT Astra Serif"/>
          <w:iCs/>
          <w:sz w:val="26"/>
          <w:szCs w:val="26"/>
          <w:highlight w:val="none"/>
        </w:rPr>
        <w:t xml:space="preserve"> </w:t>
      </w:r>
      <w:r/>
      <w:r/>
    </w:p>
    <w:p>
      <w:pPr>
        <w:ind w:firstLine="567"/>
        <w:jc w:val="both"/>
        <w:tabs>
          <w:tab w:val="num" w:pos="709" w:leader="none"/>
        </w:tabs>
      </w:pPr>
      <w:r>
        <w:rPr>
          <w:rFonts w:ascii="PT Astra Serif" w:hAnsi="PT Astra Serif" w:eastAsia="PT Astra Serif" w:cs="PT Astra Serif"/>
          <w:iCs/>
          <w:sz w:val="26"/>
          <w:szCs w:val="26"/>
          <w:highlight w:val="none"/>
        </w:rPr>
        <w:t xml:space="preserve">Для регистрации кандидатов Вам необходимо явиться по указанному адресу </w:t>
      </w:r>
      <w:r>
        <w:rPr>
          <w:rFonts w:ascii="PT Astra Serif" w:hAnsi="PT Astra Serif" w:eastAsia="PT Astra Serif" w:cs="PT Astra Serif"/>
          <w:b/>
          <w:iCs/>
          <w:sz w:val="26"/>
          <w:szCs w:val="26"/>
          <w:highlight w:val="none"/>
          <w:u w:val="single"/>
        </w:rPr>
        <w:t xml:space="preserve">                к 13.45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. </w:t>
      </w:r>
      <w:r>
        <w:rPr>
          <w:rFonts w:ascii="PT Astra Serif" w:hAnsi="PT Astra Serif" w:eastAsia="PT Astra Serif" w:cs="PT Astra Serif"/>
          <w:highlight w:val="none"/>
        </w:rPr>
      </w:r>
      <w:r/>
    </w:p>
    <w:p>
      <w:pPr>
        <w:ind w:firstLine="567"/>
        <w:jc w:val="both"/>
        <w:tabs>
          <w:tab w:val="num" w:pos="709" w:leader="none"/>
        </w:tabs>
      </w:pP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2.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 Индивидуальное собеседование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с представителем нанимателя Департамента профессионального образования Томской области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 состоится 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02.12.2022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 в 10.00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 по адресу: г. Томск, пр. Фрунзе, 14, Конференц-зал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.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</w:r>
      <w:r/>
    </w:p>
    <w:p>
      <w:pPr>
        <w:ind w:firstLine="567"/>
        <w:jc w:val="both"/>
        <w:tabs>
          <w:tab w:val="num" w:pos="709" w:leader="none"/>
        </w:tabs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3. 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</w:rPr>
        <w:t xml:space="preserve">Подготовка реферата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на тему</w:t>
      </w:r>
      <w:r>
        <w:rPr>
          <w:rFonts w:ascii="PT Astra Serif" w:hAnsi="PT Astra Serif" w:eastAsia="PT Astra Serif" w:cs="PT Astra Serif"/>
          <w:b w:val="0"/>
          <w:sz w:val="26"/>
          <w:szCs w:val="26"/>
          <w:highlight w:val="none"/>
        </w:rPr>
        <w:t xml:space="preserve">: </w:t>
      </w:r>
      <w:r>
        <w:rPr>
          <w:rFonts w:ascii="PT Astra Serif" w:hAnsi="PT Astra Serif" w:eastAsia="PT Astra Serif" w:cs="PT Astra Serif"/>
          <w:b w:val="0"/>
          <w:sz w:val="26"/>
          <w:szCs w:val="26"/>
          <w:highlight w:val="none"/>
        </w:rPr>
        <w:t xml:space="preserve">«Развитие социальной политики и воспитательной среды в системе профессионального образования»</w:t>
      </w:r>
      <w:r>
        <w:rPr>
          <w:rFonts w:ascii="PT Astra Serif" w:hAnsi="PT Astra Serif" w:eastAsia="PT Astra Serif" w:cs="PT Astra Serif"/>
          <w:b w:val="0"/>
          <w:sz w:val="26"/>
          <w:szCs w:val="26"/>
          <w:highlight w:val="none"/>
        </w:rPr>
        <w:t xml:space="preserve">.</w:t>
      </w:r>
      <w:r>
        <w:rPr>
          <w:rFonts w:ascii="PT Astra Serif" w:hAnsi="PT Astra Serif" w:eastAsia="PT Astra Serif" w:cs="PT Astra Serif"/>
          <w:b w:val="0"/>
          <w:sz w:val="26"/>
          <w:highlight w:val="none"/>
        </w:rPr>
      </w:r>
      <w:r/>
    </w:p>
    <w:p>
      <w:pPr>
        <w:ind w:firstLine="567"/>
        <w:jc w:val="both"/>
        <w:tabs>
          <w:tab w:val="num" w:pos="709" w:leader="none"/>
        </w:tabs>
      </w:pPr>
      <w:r>
        <w:rPr>
          <w:rFonts w:ascii="PT Astra Serif" w:hAnsi="PT Astra Serif" w:eastAsia="PT Astra Serif" w:cs="PT Astra Serif"/>
          <w:b w:val="0"/>
          <w:sz w:val="26"/>
          <w:highlight w:val="none"/>
        </w:rPr>
        <w:t xml:space="preserve">Реферат должен соответствовать следующим требованиям: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/>
    </w:p>
    <w:p>
      <w:pPr>
        <w:ind w:firstLine="567"/>
        <w:jc w:val="both"/>
        <w:tabs>
          <w:tab w:val="num" w:pos="709" w:leader="none"/>
        </w:tabs>
      </w:pPr>
      <w:r>
        <w:rPr>
          <w:rFonts w:ascii="PT Astra Serif" w:hAnsi="PT Astra Serif" w:eastAsia="PT Astra Serif" w:cs="PT Astra Serif"/>
          <w:b w:val="0"/>
          <w:sz w:val="26"/>
          <w:highlight w:val="none"/>
        </w:rPr>
        <w:t xml:space="preserve">объем реферата - от 7 до 10 страниц (за исключением титульного листа и списка использованной литературы);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/>
    </w:p>
    <w:p>
      <w:pPr>
        <w:ind w:firstLine="567"/>
        <w:jc w:val="both"/>
        <w:tabs>
          <w:tab w:val="num" w:pos="709" w:leader="none"/>
        </w:tabs>
      </w:pPr>
      <w:r>
        <w:rPr>
          <w:rFonts w:ascii="PT Astra Serif" w:hAnsi="PT Astra Serif" w:eastAsia="PT Astra Serif" w:cs="PT Astra Serif"/>
          <w:b w:val="0"/>
          <w:sz w:val="26"/>
          <w:highlight w:val="none"/>
        </w:rPr>
        <w:t xml:space="preserve">шрифт - Times New Roman, размер 14, через одинарный интервал.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/>
    </w:p>
    <w:p>
      <w:pPr>
        <w:ind w:firstLine="567"/>
        <w:jc w:val="both"/>
        <w:tabs>
          <w:tab w:val="num" w:pos="709" w:leader="none"/>
        </w:tabs>
      </w:pPr>
      <w:r>
        <w:rPr>
          <w:rFonts w:ascii="PT Astra Serif" w:hAnsi="PT Astra Serif" w:eastAsia="PT Astra Serif" w:cs="PT Astra Serif"/>
          <w:b w:val="0"/>
          <w:sz w:val="26"/>
          <w:highlight w:val="none"/>
        </w:rPr>
        <w:t xml:space="preserve">Реферат должен содержать ссылки на использованные источники.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/>
    </w:p>
    <w:p>
      <w:pPr>
        <w:pStyle w:val="829"/>
        <w:ind w:firstLine="567"/>
        <w:jc w:val="both"/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Работу необходимо отправить на электронный адрес: 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single"/>
        </w:rPr>
        <w:t xml:space="preserve">yurkevich@dpo.tomsk.gov.ru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в срок 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</w:rPr>
        <w:t xml:space="preserve">не позднее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</w:rPr>
        <w:t xml:space="preserve">01.12.2022 года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и представить на бумажном носителе в Департамент профессионального образования Томской области по адресу: г. Томск, пр. Фрунзе, 14, кабинет 301 (режим работы: с 8.30 до 17.30, перерыв с 12.30 до 13.30).</w:t>
      </w:r>
      <w:r>
        <w:rPr>
          <w:rFonts w:ascii="PT Astra Serif" w:hAnsi="PT Astra Serif" w:eastAsia="PT Astra Serif" w:cs="PT Astra Serif"/>
          <w:sz w:val="26"/>
          <w:highlight w:val="none"/>
        </w:rPr>
      </w:r>
      <w:r/>
    </w:p>
    <w:p>
      <w:pPr>
        <w:ind w:firstLine="567"/>
        <w:jc w:val="both"/>
        <w:tabs>
          <w:tab w:val="num" w:pos="709" w:leader="none"/>
        </w:tabs>
        <w:rPr>
          <w:rFonts w:ascii="PT Astra Serif" w:hAnsi="PT Astra Serif" w:eastAsia="PT Astra Serif" w:cs="PT Astra Serif"/>
          <w:b w:val="0"/>
          <w:bCs w:val="0"/>
          <w:highlight w:val="none"/>
          <w:u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4. 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Собеседование с членами конкурсной комиссии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состоится 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</w:rPr>
        <w:t xml:space="preserve">06.12.2022 в 10.00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по адресу: г. Томск, пр. Фрунзе, 14, Конференц-зал</w:t>
      </w:r>
      <w:r>
        <w:rPr>
          <w:rFonts w:ascii="PT Astra Serif" w:hAnsi="PT Astra Serif" w:eastAsia="PT Astra Serif" w:cs="PT Astra Serif"/>
          <w:b w:val="0"/>
          <w:sz w:val="26"/>
          <w:szCs w:val="26"/>
          <w:highlight w:val="none"/>
        </w:rPr>
        <w:t xml:space="preserve">.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/>
    </w:p>
    <w:p>
      <w:pPr>
        <w:pStyle w:val="818"/>
        <w:ind w:firstLine="708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</w:r>
      <w:r>
        <w:rPr>
          <w:rFonts w:ascii="PT Astra Serif" w:hAnsi="PT Astra Serif"/>
          <w:sz w:val="26"/>
          <w:szCs w:val="26"/>
          <w:highlight w:val="white"/>
        </w:rPr>
      </w:r>
      <w:r/>
    </w:p>
    <w:p>
      <w:pPr>
        <w:pStyle w:val="818"/>
        <w:ind w:firstLine="708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</w:r>
      <w:r>
        <w:rPr>
          <w:highlight w:val="white"/>
        </w:rPr>
      </w:r>
      <w:r/>
    </w:p>
    <w:p>
      <w:pPr>
        <w:pStyle w:val="818"/>
        <w:ind w:firstLine="708"/>
        <w:jc w:val="right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 xml:space="preserve">Секретарь конкурсной комиссии</w:t>
      </w:r>
      <w:r>
        <w:rPr>
          <w:rFonts w:ascii="PT Astra Serif" w:hAnsi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/>
          <w:sz w:val="26"/>
          <w:szCs w:val="26"/>
          <w:highlight w:val="white"/>
        </w:rPr>
        <w:t xml:space="preserve">Л.В. Юркевич</w:t>
      </w:r>
      <w:r>
        <w:rPr>
          <w:highlight w:val="white"/>
        </w:rPr>
      </w:r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18"/>
        <w:ind w:left="1068" w:hanging="360"/>
        <w:tabs>
          <w:tab w:val="num" w:pos="1068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818"/>
        <w:ind w:left="1788" w:hanging="360"/>
        <w:tabs>
          <w:tab w:val="num" w:pos="1788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818"/>
        <w:ind w:left="2508" w:hanging="180"/>
        <w:tabs>
          <w:tab w:val="num" w:pos="2508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18"/>
        <w:ind w:left="3228" w:hanging="360"/>
        <w:tabs>
          <w:tab w:val="num" w:pos="3228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818"/>
        <w:ind w:left="3948" w:hanging="360"/>
        <w:tabs>
          <w:tab w:val="num" w:pos="3948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818"/>
        <w:ind w:left="4668" w:hanging="180"/>
        <w:tabs>
          <w:tab w:val="num" w:pos="4668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18"/>
        <w:ind w:left="5388" w:hanging="360"/>
        <w:tabs>
          <w:tab w:val="num" w:pos="5388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818"/>
        <w:ind w:left="6108" w:hanging="360"/>
        <w:tabs>
          <w:tab w:val="num" w:pos="6108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818"/>
        <w:ind w:left="6828" w:hanging="180"/>
        <w:tabs>
          <w:tab w:val="num" w:pos="6828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18"/>
        <w:ind w:left="1068" w:hanging="360"/>
        <w:tabs>
          <w:tab w:val="num" w:pos="1068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818"/>
        <w:ind w:left="1788" w:hanging="360"/>
        <w:tabs>
          <w:tab w:val="num" w:pos="1788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818"/>
        <w:ind w:left="2508" w:hanging="180"/>
        <w:tabs>
          <w:tab w:val="num" w:pos="2508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18"/>
        <w:ind w:left="3228" w:hanging="360"/>
        <w:tabs>
          <w:tab w:val="num" w:pos="3228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818"/>
        <w:ind w:left="3948" w:hanging="360"/>
        <w:tabs>
          <w:tab w:val="num" w:pos="3948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818"/>
        <w:ind w:left="4668" w:hanging="180"/>
        <w:tabs>
          <w:tab w:val="num" w:pos="4668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18"/>
        <w:ind w:left="5388" w:hanging="360"/>
        <w:tabs>
          <w:tab w:val="num" w:pos="5388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818"/>
        <w:ind w:left="6108" w:hanging="360"/>
        <w:tabs>
          <w:tab w:val="num" w:pos="6108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818"/>
        <w:ind w:left="6828" w:hanging="180"/>
        <w:tabs>
          <w:tab w:val="num" w:pos="6828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18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818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818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18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818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818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18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818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818"/>
        <w:ind w:left="6480" w:hanging="180"/>
        <w:tabs>
          <w:tab w:val="num" w:pos="6480" w:leader="none"/>
        </w:tabs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0">
    <w:name w:val="Heading 1"/>
    <w:link w:val="64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1">
    <w:name w:val="Heading 1 Char"/>
    <w:link w:val="640"/>
    <w:uiPriority w:val="9"/>
    <w:rPr>
      <w:rFonts w:ascii="Arial" w:hAnsi="Arial" w:eastAsia="Arial" w:cs="Arial"/>
      <w:sz w:val="40"/>
      <w:szCs w:val="40"/>
    </w:rPr>
  </w:style>
  <w:style w:type="paragraph" w:styleId="642">
    <w:name w:val="Heading 2"/>
    <w:link w:val="64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3">
    <w:name w:val="Heading 2 Char"/>
    <w:link w:val="642"/>
    <w:uiPriority w:val="9"/>
    <w:rPr>
      <w:rFonts w:ascii="Arial" w:hAnsi="Arial" w:eastAsia="Arial" w:cs="Arial"/>
      <w:sz w:val="34"/>
    </w:rPr>
  </w:style>
  <w:style w:type="paragraph" w:styleId="644">
    <w:name w:val="Heading 3"/>
    <w:link w:val="64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5">
    <w:name w:val="Heading 3 Char"/>
    <w:link w:val="644"/>
    <w:uiPriority w:val="9"/>
    <w:rPr>
      <w:rFonts w:ascii="Arial" w:hAnsi="Arial" w:eastAsia="Arial" w:cs="Arial"/>
      <w:sz w:val="30"/>
      <w:szCs w:val="30"/>
    </w:rPr>
  </w:style>
  <w:style w:type="paragraph" w:styleId="646">
    <w:name w:val="Heading 4"/>
    <w:link w:val="64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7">
    <w:name w:val="Heading 4 Char"/>
    <w:link w:val="646"/>
    <w:uiPriority w:val="9"/>
    <w:rPr>
      <w:rFonts w:ascii="Arial" w:hAnsi="Arial" w:eastAsia="Arial" w:cs="Arial"/>
      <w:b/>
      <w:bCs/>
      <w:sz w:val="26"/>
      <w:szCs w:val="26"/>
    </w:rPr>
  </w:style>
  <w:style w:type="paragraph" w:styleId="648">
    <w:name w:val="Heading 5"/>
    <w:link w:val="64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9">
    <w:name w:val="Heading 5 Char"/>
    <w:link w:val="648"/>
    <w:uiPriority w:val="9"/>
    <w:rPr>
      <w:rFonts w:ascii="Arial" w:hAnsi="Arial" w:eastAsia="Arial" w:cs="Arial"/>
      <w:b/>
      <w:bCs/>
      <w:sz w:val="24"/>
      <w:szCs w:val="24"/>
    </w:rPr>
  </w:style>
  <w:style w:type="paragraph" w:styleId="650">
    <w:name w:val="Heading 6"/>
    <w:link w:val="65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1">
    <w:name w:val="Heading 6 Char"/>
    <w:link w:val="650"/>
    <w:uiPriority w:val="9"/>
    <w:rPr>
      <w:rFonts w:ascii="Arial" w:hAnsi="Arial" w:eastAsia="Arial" w:cs="Arial"/>
      <w:b/>
      <w:bCs/>
      <w:sz w:val="22"/>
      <w:szCs w:val="22"/>
    </w:rPr>
  </w:style>
  <w:style w:type="paragraph" w:styleId="652">
    <w:name w:val="Heading 7"/>
    <w:link w:val="65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3">
    <w:name w:val="Heading 7 Char"/>
    <w:link w:val="65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4">
    <w:name w:val="Heading 8"/>
    <w:link w:val="65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5">
    <w:name w:val="Heading 8 Char"/>
    <w:link w:val="654"/>
    <w:uiPriority w:val="9"/>
    <w:rPr>
      <w:rFonts w:ascii="Arial" w:hAnsi="Arial" w:eastAsia="Arial" w:cs="Arial"/>
      <w:i/>
      <w:iCs/>
      <w:sz w:val="22"/>
      <w:szCs w:val="22"/>
    </w:rPr>
  </w:style>
  <w:style w:type="paragraph" w:styleId="656">
    <w:name w:val="Heading 9"/>
    <w:link w:val="65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7">
    <w:name w:val="Heading 9 Char"/>
    <w:link w:val="656"/>
    <w:uiPriority w:val="9"/>
    <w:rPr>
      <w:rFonts w:ascii="Arial" w:hAnsi="Arial" w:eastAsia="Arial" w:cs="Arial"/>
      <w:i/>
      <w:iCs/>
      <w:sz w:val="21"/>
      <w:szCs w:val="21"/>
    </w:rPr>
  </w:style>
  <w:style w:type="paragraph" w:styleId="658">
    <w:name w:val="List Paragraph"/>
    <w:uiPriority w:val="34"/>
    <w:qFormat/>
    <w:pPr>
      <w:contextualSpacing/>
      <w:ind w:left="720"/>
    </w:pPr>
  </w:style>
  <w:style w:type="paragraph" w:styleId="659">
    <w:name w:val="No Spacing"/>
    <w:uiPriority w:val="1"/>
    <w:qFormat/>
    <w:pPr>
      <w:spacing w:before="0" w:after="0" w:line="240" w:lineRule="auto"/>
    </w:pPr>
  </w:style>
  <w:style w:type="paragraph" w:styleId="660">
    <w:name w:val="Title"/>
    <w:link w:val="66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1">
    <w:name w:val="Title Char"/>
    <w:link w:val="660"/>
    <w:uiPriority w:val="10"/>
    <w:rPr>
      <w:sz w:val="48"/>
      <w:szCs w:val="48"/>
    </w:rPr>
  </w:style>
  <w:style w:type="paragraph" w:styleId="662">
    <w:name w:val="Subtitle"/>
    <w:link w:val="663"/>
    <w:uiPriority w:val="11"/>
    <w:qFormat/>
    <w:pPr>
      <w:spacing w:before="200" w:after="200"/>
    </w:pPr>
    <w:rPr>
      <w:sz w:val="24"/>
      <w:szCs w:val="24"/>
    </w:rPr>
  </w:style>
  <w:style w:type="character" w:styleId="663">
    <w:name w:val="Subtitle Char"/>
    <w:link w:val="662"/>
    <w:uiPriority w:val="11"/>
    <w:rPr>
      <w:sz w:val="24"/>
      <w:szCs w:val="24"/>
    </w:rPr>
  </w:style>
  <w:style w:type="paragraph" w:styleId="664">
    <w:name w:val="Quote"/>
    <w:link w:val="665"/>
    <w:uiPriority w:val="29"/>
    <w:qFormat/>
    <w:pPr>
      <w:ind w:left="720" w:right="720"/>
    </w:pPr>
    <w:rPr>
      <w:i/>
    </w:rPr>
  </w:style>
  <w:style w:type="character" w:styleId="665">
    <w:name w:val="Quote Char"/>
    <w:link w:val="664"/>
    <w:uiPriority w:val="29"/>
    <w:rPr>
      <w:i/>
    </w:rPr>
  </w:style>
  <w:style w:type="paragraph" w:styleId="666">
    <w:name w:val="Intense Quote"/>
    <w:link w:val="66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7">
    <w:name w:val="Intense Quote Char"/>
    <w:link w:val="666"/>
    <w:uiPriority w:val="30"/>
    <w:rPr>
      <w:i/>
    </w:rPr>
  </w:style>
  <w:style w:type="paragraph" w:styleId="668">
    <w:name w:val="Header"/>
    <w:link w:val="66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9">
    <w:name w:val="Header Char"/>
    <w:link w:val="668"/>
    <w:uiPriority w:val="99"/>
  </w:style>
  <w:style w:type="paragraph" w:styleId="670">
    <w:name w:val="Footer"/>
    <w:link w:val="67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1">
    <w:name w:val="Footer Char"/>
    <w:link w:val="670"/>
    <w:uiPriority w:val="99"/>
  </w:style>
  <w:style w:type="paragraph" w:styleId="672">
    <w:name w:val="Caption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3">
    <w:name w:val="Caption Char"/>
    <w:basedOn w:val="672"/>
    <w:link w:val="670"/>
    <w:uiPriority w:val="99"/>
  </w:style>
  <w:style w:type="table" w:styleId="674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5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4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5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6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7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8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9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1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2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3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4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8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9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0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1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00">
    <w:name w:val="Hyperlink"/>
    <w:uiPriority w:val="99"/>
    <w:unhideWhenUsed/>
    <w:rPr>
      <w:color w:val="0000ff" w:themeColor="hyperlink"/>
      <w:u w:val="single"/>
    </w:rPr>
  </w:style>
  <w:style w:type="paragraph" w:styleId="801">
    <w:name w:val="footnote text"/>
    <w:link w:val="802"/>
    <w:uiPriority w:val="99"/>
    <w:semiHidden/>
    <w:unhideWhenUsed/>
    <w:pPr>
      <w:spacing w:after="40" w:line="240" w:lineRule="auto"/>
    </w:pPr>
    <w:rPr>
      <w:sz w:val="18"/>
    </w:rPr>
  </w:style>
  <w:style w:type="character" w:styleId="802">
    <w:name w:val="Footnote Text Char"/>
    <w:link w:val="801"/>
    <w:uiPriority w:val="99"/>
    <w:rPr>
      <w:sz w:val="18"/>
    </w:rPr>
  </w:style>
  <w:style w:type="character" w:styleId="803">
    <w:name w:val="footnote reference"/>
    <w:uiPriority w:val="99"/>
    <w:unhideWhenUsed/>
    <w:rPr>
      <w:vertAlign w:val="superscript"/>
    </w:rPr>
  </w:style>
  <w:style w:type="paragraph" w:styleId="804">
    <w:name w:val="endnote text"/>
    <w:link w:val="805"/>
    <w:uiPriority w:val="99"/>
    <w:semiHidden/>
    <w:unhideWhenUsed/>
    <w:pPr>
      <w:spacing w:after="0" w:line="240" w:lineRule="auto"/>
    </w:pPr>
    <w:rPr>
      <w:sz w:val="20"/>
    </w:rPr>
  </w:style>
  <w:style w:type="character" w:styleId="805">
    <w:name w:val="Endnote Text Char"/>
    <w:link w:val="804"/>
    <w:uiPriority w:val="99"/>
    <w:rPr>
      <w:sz w:val="20"/>
    </w:rPr>
  </w:style>
  <w:style w:type="character" w:styleId="806">
    <w:name w:val="endnote reference"/>
    <w:uiPriority w:val="99"/>
    <w:semiHidden/>
    <w:unhideWhenUsed/>
    <w:rPr>
      <w:vertAlign w:val="superscript"/>
    </w:rPr>
  </w:style>
  <w:style w:type="paragraph" w:styleId="807">
    <w:name w:val="toc 1"/>
    <w:uiPriority w:val="39"/>
    <w:unhideWhenUsed/>
    <w:pPr>
      <w:ind w:left="0" w:right="0" w:firstLine="0"/>
      <w:spacing w:after="57"/>
    </w:pPr>
  </w:style>
  <w:style w:type="paragraph" w:styleId="808">
    <w:name w:val="toc 2"/>
    <w:uiPriority w:val="39"/>
    <w:unhideWhenUsed/>
    <w:pPr>
      <w:ind w:left="283" w:right="0" w:firstLine="0"/>
      <w:spacing w:after="57"/>
    </w:pPr>
  </w:style>
  <w:style w:type="paragraph" w:styleId="809">
    <w:name w:val="toc 3"/>
    <w:uiPriority w:val="39"/>
    <w:unhideWhenUsed/>
    <w:pPr>
      <w:ind w:left="567" w:right="0" w:firstLine="0"/>
      <w:spacing w:after="57"/>
    </w:pPr>
  </w:style>
  <w:style w:type="paragraph" w:styleId="810">
    <w:name w:val="toc 4"/>
    <w:uiPriority w:val="39"/>
    <w:unhideWhenUsed/>
    <w:pPr>
      <w:ind w:left="850" w:right="0" w:firstLine="0"/>
      <w:spacing w:after="57"/>
    </w:pPr>
  </w:style>
  <w:style w:type="paragraph" w:styleId="811">
    <w:name w:val="toc 5"/>
    <w:uiPriority w:val="39"/>
    <w:unhideWhenUsed/>
    <w:pPr>
      <w:ind w:left="1134" w:right="0" w:firstLine="0"/>
      <w:spacing w:after="57"/>
    </w:pPr>
  </w:style>
  <w:style w:type="paragraph" w:styleId="812">
    <w:name w:val="toc 6"/>
    <w:uiPriority w:val="39"/>
    <w:unhideWhenUsed/>
    <w:pPr>
      <w:ind w:left="1417" w:right="0" w:firstLine="0"/>
      <w:spacing w:after="57"/>
    </w:pPr>
  </w:style>
  <w:style w:type="paragraph" w:styleId="813">
    <w:name w:val="toc 7"/>
    <w:uiPriority w:val="39"/>
    <w:unhideWhenUsed/>
    <w:pPr>
      <w:ind w:left="1701" w:right="0" w:firstLine="0"/>
      <w:spacing w:after="57"/>
    </w:pPr>
  </w:style>
  <w:style w:type="paragraph" w:styleId="814">
    <w:name w:val="toc 8"/>
    <w:uiPriority w:val="39"/>
    <w:unhideWhenUsed/>
    <w:pPr>
      <w:ind w:left="1984" w:right="0" w:firstLine="0"/>
      <w:spacing w:after="57"/>
    </w:pPr>
  </w:style>
  <w:style w:type="paragraph" w:styleId="815">
    <w:name w:val="toc 9"/>
    <w:uiPriority w:val="39"/>
    <w:unhideWhenUsed/>
    <w:pPr>
      <w:ind w:left="2268" w:right="0" w:firstLine="0"/>
      <w:spacing w:after="57"/>
    </w:pPr>
  </w:style>
  <w:style w:type="paragraph" w:styleId="816">
    <w:name w:val="TOC Heading"/>
    <w:uiPriority w:val="39"/>
    <w:unhideWhenUsed/>
  </w:style>
  <w:style w:type="paragraph" w:styleId="817">
    <w:name w:val="table of figures"/>
    <w:uiPriority w:val="99"/>
    <w:unhideWhenUsed/>
    <w:pPr>
      <w:spacing w:after="0" w:afterAutospacing="0"/>
    </w:pPr>
  </w:style>
  <w:style w:type="paragraph" w:styleId="818">
    <w:name w:val="Обычный"/>
    <w:next w:val="818"/>
    <w:link w:val="818"/>
    <w:rPr>
      <w:sz w:val="24"/>
      <w:szCs w:val="24"/>
      <w:lang w:val="ru-RU" w:eastAsia="ru-RU" w:bidi="ar-SA"/>
    </w:rPr>
  </w:style>
  <w:style w:type="paragraph" w:styleId="819">
    <w:name w:val="Заголовок 1"/>
    <w:basedOn w:val="818"/>
    <w:next w:val="819"/>
    <w:link w:val="818"/>
    <w:pPr>
      <w:spacing w:before="240" w:after="240"/>
      <w:outlineLvl w:val="0"/>
    </w:pPr>
    <w:rPr>
      <w:b/>
      <w:bCs/>
      <w:caps/>
      <w:color w:val="184073"/>
      <w:sz w:val="18"/>
      <w:szCs w:val="18"/>
    </w:rPr>
  </w:style>
  <w:style w:type="paragraph" w:styleId="820">
    <w:name w:val="Заголовок 2"/>
    <w:basedOn w:val="818"/>
    <w:next w:val="818"/>
    <w:link w:val="818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styleId="821">
    <w:name w:val="Основной шрифт абзаца"/>
    <w:next w:val="821"/>
    <w:link w:val="818"/>
    <w:semiHidden/>
  </w:style>
  <w:style w:type="table" w:styleId="822">
    <w:name w:val="Обычная таблица"/>
    <w:next w:val="822"/>
    <w:link w:val="818"/>
    <w:semiHidden/>
    <w:tblPr/>
  </w:style>
  <w:style w:type="numbering" w:styleId="823">
    <w:name w:val="Нет списка"/>
    <w:next w:val="823"/>
    <w:link w:val="818"/>
    <w:semiHidden/>
  </w:style>
  <w:style w:type="paragraph" w:styleId="824">
    <w:name w:val="Обычный (веб)"/>
    <w:basedOn w:val="818"/>
    <w:next w:val="824"/>
    <w:link w:val="818"/>
    <w:pPr>
      <w:spacing w:before="100" w:beforeAutospacing="1" w:after="100" w:afterAutospacing="1"/>
    </w:pPr>
  </w:style>
  <w:style w:type="character" w:styleId="825">
    <w:name w:val="Гиперссылка"/>
    <w:next w:val="825"/>
    <w:link w:val="818"/>
    <w:rPr>
      <w:color w:val="0000ff"/>
      <w:u w:val="single"/>
    </w:rPr>
  </w:style>
  <w:style w:type="character" w:styleId="826">
    <w:name w:val="print-footnote1"/>
    <w:next w:val="826"/>
    <w:link w:val="818"/>
    <w:rPr>
      <w:sz w:val="15"/>
      <w:szCs w:val="15"/>
    </w:rPr>
  </w:style>
  <w:style w:type="character" w:styleId="827" w:default="1">
    <w:name w:val="Default Paragraph Font"/>
    <w:uiPriority w:val="1"/>
    <w:semiHidden/>
    <w:unhideWhenUsed/>
  </w:style>
  <w:style w:type="numbering" w:styleId="828" w:default="1">
    <w:name w:val="No List"/>
    <w:uiPriority w:val="99"/>
    <w:semiHidden/>
    <w:unhideWhenUsed/>
  </w:style>
  <w:style w:type="paragraph" w:styleId="829" w:default="1">
    <w:name w:val="Normal"/>
    <w:qFormat/>
  </w:style>
  <w:style w:type="table" w:styleId="830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Р7-Офис/7.2.1.14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3</cp:revision>
  <dcterms:modified xsi:type="dcterms:W3CDTF">2022-11-16T05:28:41Z</dcterms:modified>
</cp:coreProperties>
</file>