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2"/>
        <w:ind w:firstLine="0"/>
        <w:spacing w:before="120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ind w:firstLine="567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b/>
          <w:color w:val="000000" w:themeColor="text1"/>
          <w:sz w:val="24"/>
          <w:szCs w:val="24"/>
          <w:highlight w:val="none"/>
        </w:rPr>
        <w:t xml:space="preserve">Положения должностного регламента для кандидатов, участвующих в конкурсе на включение в кадровый резерв Департамента профессионального образования Томской области для замещения должностей главной группы</w:t>
      </w:r>
      <w:r>
        <w:rPr>
          <w:color w:val="000000" w:themeColor="text1"/>
          <w:sz w:val="24"/>
          <w:szCs w:val="24"/>
          <w:highlight w:val="none"/>
        </w:rPr>
      </w:r>
      <w:r>
        <w:rPr>
          <w:highlight w:val="none"/>
        </w:rPr>
      </w:r>
    </w:p>
    <w:p>
      <w:pPr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  <w:r>
        <w:rPr>
          <w:highlight w:val="none"/>
        </w:rPr>
      </w:r>
    </w:p>
    <w:p>
      <w:pPr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2.2.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Квалификационные требования, предъявляемые к должности государственной гражданской службы Томской области: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2.2.1. </w:t>
      </w:r>
      <w:r>
        <w:rPr>
          <w:color w:val="000000" w:themeColor="text1"/>
          <w:sz w:val="24"/>
          <w:szCs w:val="24"/>
          <w:highlight w:val="none"/>
        </w:rPr>
        <w:t xml:space="preserve">Уровень профессионального образования: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  <w:lang w:val="en-US"/>
        </w:rPr>
        <w:t xml:space="preserve">V</w:t>
      </w:r>
      <w:r>
        <w:rPr>
          <w:color w:val="000000" w:themeColor="text1"/>
          <w:sz w:val="24"/>
          <w:szCs w:val="24"/>
          <w:highlight w:val="none"/>
        </w:rPr>
        <w:t xml:space="preserve"> Высшее образование (не ниже уровня специалитета, магистратуры)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</w:t>
      </w:r>
      <w:r>
        <w:rPr>
          <w:color w:val="000000" w:themeColor="text1"/>
          <w:sz w:val="24"/>
          <w:szCs w:val="24"/>
          <w:highlight w:val="none"/>
        </w:rPr>
        <w:t xml:space="preserve"> Высшее образование</w:t>
      </w:r>
      <w:r>
        <w:rPr>
          <w:color w:val="000000" w:themeColor="text1"/>
          <w:sz w:val="24"/>
          <w:szCs w:val="24"/>
          <w:highlight w:val="none"/>
        </w:rPr>
        <w:t xml:space="preserve"> 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 Среднее профессиональное образование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2.2.2.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Стаж государственной гражданской службы или работы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>
        <w:rPr>
          <w:color w:val="000000" w:themeColor="text1"/>
          <w:sz w:val="24"/>
          <w:szCs w:val="24"/>
          <w:highlight w:val="none"/>
        </w:rPr>
        <w:t xml:space="preserve">: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  <w:pBdr>
          <w:bottom w:val="single" w:color="000000" w:sz="4" w:space="1"/>
        </w:pBdr>
      </w:pPr>
      <w:r>
        <w:rPr>
          <w:b/>
          <w:color w:val="000000" w:themeColor="text1"/>
          <w:sz w:val="24"/>
          <w:szCs w:val="24"/>
          <w:highlight w:val="none"/>
          <w:u w:val="single"/>
        </w:rPr>
        <w:t xml:space="preserve">не менее четырех лет стажа государственной гражданской службы или </w:t>
      </w:r>
      <w:r>
        <w:rPr>
          <w:b/>
          <w:color w:val="000000" w:themeColor="text1"/>
          <w:sz w:val="24"/>
          <w:szCs w:val="24"/>
          <w:highlight w:val="none"/>
          <w:u w:val="single"/>
        </w:rPr>
        <w:t xml:space="preserve">не менее</w:t>
      </w:r>
      <w:r>
        <w:rPr>
          <w:b/>
          <w:color w:val="000000" w:themeColor="text1"/>
          <w:sz w:val="24"/>
          <w:szCs w:val="24"/>
          <w:highlight w:val="none"/>
        </w:rPr>
        <w:t xml:space="preserve"> пяти лет работы по специальности, направлению подготовки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2.2.3.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Специальность, направление подготовки: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  <w:pBdr>
          <w:bottom w:val="single" w:color="000000" w:sz="4" w:space="1"/>
        </w:pBdr>
      </w:pPr>
      <w:r>
        <w:rPr>
          <w:b/>
          <w:color w:val="000000" w:themeColor="text1"/>
          <w:sz w:val="24"/>
          <w:szCs w:val="24"/>
          <w:highlight w:val="none"/>
          <w:u w:val="single"/>
        </w:rPr>
        <w:t xml:space="preserve">по укрупненной группе специальностей или направлений подготовки </w:t>
      </w:r>
      <w:r>
        <w:rPr>
          <w:b/>
          <w:color w:val="000000" w:themeColor="text1"/>
          <w:sz w:val="24"/>
          <w:szCs w:val="24"/>
          <w:highlight w:val="none"/>
          <w:u w:val="single"/>
        </w:rPr>
        <w:t xml:space="preserve">«экономика и управление» или специальности «Юриспруденция» или</w:t>
      </w:r>
      <w:r>
        <w:rPr>
          <w:b/>
          <w:color w:val="000000" w:themeColor="text1"/>
          <w:sz w:val="24"/>
          <w:szCs w:val="24"/>
          <w:highlight w:val="none"/>
        </w:rPr>
        <w:t xml:space="preserve"> специальности «Правоведение»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2.2.4.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1)</w:t>
      </w:r>
      <w:r>
        <w:rPr>
          <w:b/>
          <w:color w:val="000000" w:themeColor="text1"/>
          <w:sz w:val="24"/>
          <w:szCs w:val="24"/>
          <w:highlight w:val="none"/>
        </w:rPr>
        <w:t xml:space="preserve"> з</w:t>
      </w:r>
      <w:r>
        <w:rPr>
          <w:b/>
          <w:color w:val="000000" w:themeColor="text1"/>
          <w:sz w:val="24"/>
          <w:szCs w:val="24"/>
          <w:highlight w:val="none"/>
        </w:rPr>
        <w:t xml:space="preserve">нания: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а)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базовые квалификационные требования к знаниям: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Конституции Российской Федерации;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Федерального закона от 27.05.2003 № 58-ФЗ «О системе государственной службы Российской Федерации»;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Федерального закона от 27.07.2004 № 79-ФЗ «О государственной гражданской службе Российской Федерации»;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Закона Томской области от 09.12.2005 № 231-ОЗ ««О государственной гражданской службе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Федерального закона от 25.12.2008 № 273-ФЗ «О противодействии коррупции»;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Закона Томской области от 07.07.2009 № 110-ОЗ «О противодействии коррупции в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правил русского языка, основ делопроизводства и документооборота;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знаний в сфере информационно-коммуникационных технологий;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б)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функциональные квалификационные требования к знаниям: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Гражданский кодекс Российской Федерации от 30.11.1994 № 51-ФЗ;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Бюджетный кодекс Российской Федерации от 31.07.1998 № 145-ФЗ;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Земельный кодекс Российской Федерации от 25.10.2001 № 136-ФЗ;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Налоговый кодекс Российской Федерации от 31.07.1998 № 146-ФЗ;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14.11.2002 № 161-ФЗ «О государственных и муниципальных унитарных предприятиях»;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06.10.2003 № 131-ФЗ «Об общих принципах организации местного самоуправления в Российской Федерации»;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03.11.2006 № 174-ФЗ «Об автономных учреждениях»;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25.06.2002 № 73-ФЗ «Об объектах культурного наследия (памятниках истории и культуры) народов Российской Федерации»;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24.07.2007 № 221-ФЗ «О кадастровой деятельности»;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Постановление Правительства Российской Федерации от 09.09.1999 № 1024 «О Концепции управления государственным имуществом и приватизации в Российской Федерации»;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Приказ ФАС России от 10.02.2010 № 67 «О порядке проведения конкурсов или аукционов на право заключения договоров аренды, договоров безвозмездного пользования, до</w:t>
      </w:r>
      <w:r>
        <w:rPr>
          <w:color w:val="000000" w:themeColor="text1"/>
          <w:sz w:val="24"/>
          <w:szCs w:val="24"/>
          <w:highlight w:val="none"/>
        </w:rPr>
        <w:t xml:space="preserve">говоров доверительного  управления имуществом, иных договоров, предусматривающих переход прав в отношении государственного и муниципального имущества, и перечне видов имущества, в отношении которого заключение договоров аренды, договоров безвозмездного пол</w:t>
      </w:r>
      <w:r>
        <w:rPr>
          <w:color w:val="000000" w:themeColor="text1"/>
          <w:sz w:val="24"/>
          <w:szCs w:val="24"/>
          <w:highlight w:val="none"/>
        </w:rPr>
        <w:t xml:space="preserve">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может осуществляться путем проведения торгов в форме конкурса»;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 Томской области от 13.04.2004 № 52-ОЗ «Об областных государственных унитарных предприятиях»;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 Томской области от 13.04.2004 № 53-ОЗ «О порядке управления и распоряжения государственным имуществом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 Томской области от 09.07.2015 № 100-ОЗ «О земельных отношениях в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 Томской области от 16.08.2002 № 64-ОЗ «О приватизации государственного имущества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Закон Томской области от 06.09.2006 № 212-ОЗ «О специализированном жилищном фонде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25 июля 2002 г. № 114-ФЗ «О противодействии экстремистской деятельности»</w:t>
      </w:r>
      <w:r>
        <w:rPr>
          <w:color w:val="000000" w:themeColor="text1"/>
          <w:sz w:val="24"/>
          <w:szCs w:val="24"/>
          <w:highlight w:val="none"/>
        </w:rPr>
        <w:t xml:space="preserve">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Федеральный закон от 6 марта 2006 г. № 35-Ф3 «О противодействии терроризму»;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Концепция противодействия терроризму в Российской Федерации, утвержденная Президентом Российской Федерации 5 октября 2009 г.;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Указ Президента Российской Федерации от  15 февраля 2006 г. № 116 «О мерах по противодействию терроризму»;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Указ Президента Российской Федерации от 14 июня 2012 г.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государства»;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Указ Президента Российской Федерации от 26 декабря 2015 г. № 664 «О мерах по совершенствованию государственного управления в области противодействия терроризму»;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Постановление Правительства Российской Федерации от 4 мая 2008 г. № 333 «О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Постановление Правительства Российской Федерации от 25 декабря 2013 г. № 1244 «Об антитеррористической защищенности объектов (территорий)».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left="540" w:firstLine="0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в)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требования к иным знаниям: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нет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2) у</w:t>
      </w:r>
      <w:r>
        <w:rPr>
          <w:b/>
          <w:color w:val="000000" w:themeColor="text1"/>
          <w:sz w:val="24"/>
          <w:szCs w:val="24"/>
          <w:highlight w:val="none"/>
        </w:rPr>
        <w:t xml:space="preserve">мения: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а)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базовые квалификационные требования к умениям: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управленческие профессиональные навыки: постановка задач и организация работы подчиненных; принятие управленческих решений; контроль и оценка исполнения; способность к управлению изменениями; мотивирование и развитие подчиненных;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общие профессиональные навыки: ориентация на достижение результата; способность к саморазвитию; укрепление авторитета государственных гражданских служащих;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прикладные профессиональные навыки: качественная подготовка документов; убедительность коммуникации;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б)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функциональные квалификационные требования к умениям: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нет.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3. Должностные обязанности и права государственного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гражданского служащего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3.1.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Должностные обязанности, права, показатели результативности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color w:val="000000" w:themeColor="text1"/>
          <w:sz w:val="24"/>
          <w:szCs w:val="24"/>
          <w:highlight w:val="none"/>
        </w:rPr>
        <w:t xml:space="preserve">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Должностные обязанности:</w:t>
      </w:r>
      <w:r>
        <w:rPr>
          <w:b/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соблюдать Конституцию Российской Федерации, федеральные консти</w:t>
      </w:r>
      <w:r>
        <w:rPr>
          <w:color w:val="000000" w:themeColor="text1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руководить на основе единоначалия подчиненными сотрудниками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организовывать работу по исполнению функций комитета социального и ресурсного обеспечения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распределять поручения между подчиненными сотрудниками Департамента профессионального образования Томской области, в том числе расписывать поступившие документы для исполнения и определять ответственных за их исполнение;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устанавливать служебные обязанности для подчиненных сотрудников, принимать меры по их исполнению;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контроль за служебной деятельностью подчиненных сотрудников</w:t>
      </w:r>
      <w:r>
        <w:rPr>
          <w:color w:val="000000" w:themeColor="text1"/>
          <w:sz w:val="24"/>
          <w:szCs w:val="24"/>
          <w:highlight w:val="none"/>
        </w:rPr>
        <w:t xml:space="preserve">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разрабатывать проекты нормативных правовых актов, касающихся сферы деятельности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проводить мониторинг федеральных нормативных правовых актов и ревизию правовых актов Томской области, касающихс</w:t>
      </w:r>
      <w:r>
        <w:rPr>
          <w:color w:val="000000" w:themeColor="text1"/>
          <w:sz w:val="24"/>
          <w:szCs w:val="24"/>
          <w:highlight w:val="none"/>
        </w:rPr>
        <w:t xml:space="preserve">я сферы деятельности Департамента профессионального образования Томской области, готовить и направлять в установленном порядке ежеквартальные отчеты «О проведении мониторинга федеральных нормативных правовых актов и ревизии правовых актов Томской области»;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исполнять поручения начальника Департамента профессионального образования Томской области, заместителя начальника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соблюдать установленные в Департаменте профессионального образования Томской области правила служебного распорядка;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соб</w:t>
      </w:r>
      <w:r>
        <w:rPr>
          <w:color w:val="000000" w:themeColor="text1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в отношении непосредственных подчиненных государственных гражданских служащих профилактические и контрольные меры, направленные на соблюдение ими законодательства о противодействии коррупции;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соблюдать требования, запреты и нес</w:t>
      </w:r>
      <w:r>
        <w:rPr>
          <w:color w:val="000000" w:themeColor="text1"/>
          <w:sz w:val="24"/>
          <w:szCs w:val="24"/>
          <w:highlight w:val="none"/>
        </w:rPr>
        <w:t xml:space="preserve">ти обязанности, предусмотренные действующим законодательством о государственной тайне Российской Федерации, нормативными правовыми актами Томской области и локальными нормативными правовыми актами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color w:val="000000" w:themeColor="text1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</w:t>
      </w:r>
      <w:r>
        <w:rPr>
          <w:color w:val="000000" w:themeColor="text1"/>
          <w:sz w:val="24"/>
          <w:szCs w:val="24"/>
          <w:highlight w:val="none"/>
        </w:rPr>
        <w:t xml:space="preserve">Департамента профессионального образования Томской области, </w:t>
      </w:r>
      <w:r>
        <w:rPr>
          <w:color w:val="000000" w:themeColor="text1"/>
          <w:sz w:val="24"/>
          <w:szCs w:val="24"/>
          <w:highlight w:val="none"/>
        </w:rPr>
        <w:t xml:space="preserve">подлежащих оформлению на допуск к государственной тайне</w:t>
      </w:r>
      <w:r>
        <w:rPr>
          <w:color w:val="000000" w:themeColor="text1"/>
          <w:sz w:val="24"/>
          <w:szCs w:val="24"/>
          <w:highlight w:val="none"/>
        </w:rPr>
        <w:t xml:space="preserve">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материально-техническому обеспечению деятельности системы среднего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взаим</w:t>
      </w:r>
      <w:r>
        <w:rPr>
          <w:color w:val="000000" w:themeColor="text1"/>
          <w:sz w:val="24"/>
          <w:szCs w:val="24"/>
          <w:highlight w:val="none"/>
        </w:rPr>
        <w:t xml:space="preserve">одействовать с отраслевыми исполнительными органами государственной власти Томской области, органами местного самоуправления по вопросам эффективного использования материально-технической базы системы среднего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взаимодействовать с отраслевыми исполнительными органами государственной власти Томской области</w:t>
      </w:r>
      <w:r>
        <w:rPr>
          <w:color w:val="000000" w:themeColor="text1"/>
          <w:sz w:val="24"/>
          <w:szCs w:val="24"/>
          <w:highlight w:val="none"/>
        </w:rPr>
        <w:t xml:space="preserve">, органами местного самоуправления по вопросам испо</w:t>
      </w:r>
      <w:r>
        <w:rPr>
          <w:color w:val="000000" w:themeColor="text1"/>
          <w:sz w:val="24"/>
          <w:szCs w:val="24"/>
          <w:highlight w:val="none"/>
        </w:rPr>
        <w:t xml:space="preserve">льзования, передачи в Казну Томской области, получения из Казны Томской области областного имущества (здания, сооружения, техника, оборудование и т.д.), использования или возвращения (передачи) муниципальной собственности в казну муниципальных образований;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взаимодействовать с отраслевыми исполнительными органами государственной власти Томской области, органами местного самоуправления по вопросам укрепления и модер</w:t>
      </w:r>
      <w:r>
        <w:rPr>
          <w:color w:val="000000" w:themeColor="text1"/>
          <w:sz w:val="24"/>
          <w:szCs w:val="24"/>
          <w:highlight w:val="none"/>
        </w:rPr>
        <w:t xml:space="preserve">низации материально-технической базы системы среднего профессионального образования Томской области (разработка стратегии по капитальному ремонту, строительству, реконструкции зданий и сооружений областных государственных образовательных учреждениях, в отн</w:t>
      </w:r>
      <w:r>
        <w:rPr>
          <w:color w:val="000000" w:themeColor="text1"/>
          <w:sz w:val="24"/>
          <w:szCs w:val="24"/>
          <w:highlight w:val="none"/>
        </w:rPr>
        <w:t xml:space="preserve">ошении которых Департамент профессионального образования Томской области осуществляет функции и полномочия учредителя, по их оснащению техникой и оборудованием и их использованию в соответствии с требованиями ФГОС, в т.ч. в рамка сетевого взаимодействия);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подготовке системы среднего профессионального образования Томской области к работе в зимних условиях;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проверке готовности и </w:t>
      </w:r>
      <w:r>
        <w:rPr>
          <w:color w:val="000000" w:themeColor="text1"/>
          <w:sz w:val="24"/>
          <w:szCs w:val="24"/>
          <w:highlight w:val="none"/>
        </w:rPr>
        <w:t xml:space="preserve">приемке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пр</w:t>
      </w:r>
      <w:r>
        <w:rPr>
          <w:color w:val="000000" w:themeColor="text1"/>
          <w:sz w:val="24"/>
          <w:szCs w:val="24"/>
          <w:highlight w:val="none"/>
        </w:rPr>
        <w:t xml:space="preserve">оверке достоверности и законности списания материально-технических ресурсов</w:t>
      </w:r>
      <w:r>
        <w:rPr>
          <w:color w:val="000000" w:themeColor="text1"/>
          <w:sz w:val="24"/>
          <w:szCs w:val="24"/>
          <w:highlight w:val="none"/>
        </w:rPr>
        <w:t xml:space="preserve">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</w:t>
      </w:r>
      <w:r>
        <w:rPr>
          <w:color w:val="000000" w:themeColor="text1"/>
          <w:sz w:val="24"/>
          <w:szCs w:val="24"/>
          <w:highlight w:val="none"/>
        </w:rPr>
        <w:t xml:space="preserve">уществлять организацию работы по мониторингу состояния и выполнению мероприятий антитеррористической направленности в</w:t>
      </w:r>
      <w:r>
        <w:rPr>
          <w:color w:val="000000" w:themeColor="text1"/>
          <w:sz w:val="24"/>
          <w:szCs w:val="24"/>
          <w:highlight w:val="none"/>
        </w:rPr>
        <w:t xml:space="preserve"> областных государственных образовательных учреждениях, в отношении которых Департамент профессионального образования Томской области осуще</w:t>
      </w:r>
      <w:r>
        <w:rPr>
          <w:color w:val="000000" w:themeColor="text1"/>
          <w:sz w:val="24"/>
          <w:szCs w:val="24"/>
          <w:highlight w:val="none"/>
        </w:rPr>
        <w:t xml:space="preserve">ствляет функции и полномочия учредителя, согласно утвержденным планам, по обеспечению реализации в системе профессионального образования Томской области государственных программ Российской Федерации и Томской области по повышению общественной безопасности;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реализации</w:t>
      </w:r>
      <w:r>
        <w:rPr>
          <w:color w:val="000000" w:themeColor="text1"/>
          <w:sz w:val="24"/>
          <w:szCs w:val="24"/>
          <w:highlight w:val="none"/>
        </w:rPr>
        <w:t xml:space="preserve"> мероприятий Комплексного плана п</w:t>
      </w:r>
      <w:r>
        <w:rPr>
          <w:color w:val="000000" w:themeColor="text1"/>
          <w:sz w:val="24"/>
          <w:szCs w:val="24"/>
          <w:highlight w:val="none"/>
        </w:rPr>
        <w:t xml:space="preserve">ротиводействия идеологии терроризма в Российской Федерации </w:t>
      </w:r>
      <w:r>
        <w:rPr>
          <w:color w:val="000000" w:themeColor="text1"/>
          <w:sz w:val="24"/>
          <w:szCs w:val="24"/>
          <w:highlight w:val="none"/>
        </w:rPr>
        <w:t xml:space="preserve">на 2019-2023 годы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</w:t>
      </w:r>
      <w:r>
        <w:rPr>
          <w:color w:val="000000" w:themeColor="text1"/>
          <w:sz w:val="24"/>
          <w:szCs w:val="24"/>
          <w:highlight w:val="none"/>
        </w:rPr>
        <w:t xml:space="preserve">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проведения монито</w:t>
      </w:r>
      <w:r>
        <w:rPr>
          <w:color w:val="000000" w:themeColor="text1"/>
          <w:sz w:val="24"/>
          <w:szCs w:val="24"/>
          <w:highlight w:val="none"/>
        </w:rPr>
        <w:t xml:space="preserve">ринга по исполнению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законодательства по в</w:t>
      </w:r>
      <w:r>
        <w:rPr>
          <w:color w:val="000000" w:themeColor="text1"/>
          <w:sz w:val="24"/>
          <w:szCs w:val="24"/>
          <w:highlight w:val="none"/>
        </w:rPr>
        <w:t xml:space="preserve">опросам социального обеспечения обучающихся (детей-сирот, детей, оставшихся без попечения родителей, обучающихся с ограниченными возможностями здоровья и т.д.) консультирование по вопросам применения указанного законодательства, организация взаимодействия </w:t>
      </w:r>
      <w:r>
        <w:rPr>
          <w:color w:val="000000" w:themeColor="text1"/>
          <w:sz w:val="24"/>
          <w:szCs w:val="24"/>
          <w:highlight w:val="none"/>
        </w:rPr>
        <w:t xml:space="preserve">Департамента профессионального образования Томской области по вопросам соблюдения указанного законодательства с и иными исполнительными органами государственной власти Томской области, организация проведения различных конкурсов и тому подобных мероприятий;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реализации в системе профессионального образования Томской области государственных программ Российской Федерации и Томской области по патриотическому воспитанию;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</w:t>
      </w:r>
      <w:r>
        <w:rPr>
          <w:color w:val="000000" w:themeColor="text1"/>
          <w:sz w:val="24"/>
          <w:szCs w:val="24"/>
          <w:highlight w:val="none"/>
        </w:rPr>
        <w:t xml:space="preserve">я учредителя, с руководителями, преподавателями, обучающимися, студенческими активами по вопросам профилактики наркомании, алкоголизма, табакокурения, суицидальных проявлений, межрасовой нетерпимости, правонарушений, по вопросам толерантности в общежитиях;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исполнения Департаментом профессионального образования Томской области и </w:t>
      </w:r>
      <w:r>
        <w:rPr>
          <w:color w:val="000000" w:themeColor="text1"/>
          <w:sz w:val="24"/>
          <w:szCs w:val="24"/>
          <w:highlight w:val="none"/>
        </w:rPr>
        <w:t xml:space="preserve">областными государственными образовательными учреждениями, в отношении которых Департамент профессионального образования Томской области осуществляет функции и полномочия учредителя, законодательства по вопросам гражданской обороны и чрезвычайных ситуаций;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</w:t>
      </w:r>
      <w:r>
        <w:rPr>
          <w:color w:val="000000" w:themeColor="text1"/>
          <w:sz w:val="24"/>
          <w:szCs w:val="24"/>
          <w:highlight w:val="none"/>
        </w:rPr>
        <w:t xml:space="preserve">ществлять организацию в Департаменте профессионального образования Томской области и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</w:t>
      </w:r>
      <w:r>
        <w:rPr>
          <w:color w:val="000000" w:themeColor="text1"/>
          <w:sz w:val="24"/>
          <w:szCs w:val="24"/>
          <w:highlight w:val="none"/>
        </w:rPr>
        <w:t xml:space="preserve">редителя, исполнения законодательства по вопросам мобилизационной подготовки и бронированию граждан, пребывающих в запасе; организация работы по исполнению функций режимно-секретного подразделения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обеспечению информатизации системы профессионального образования Томской области, выполнению Федерального закона от 29 декабря </w:t>
      </w:r>
      <w:r>
        <w:rPr>
          <w:color w:val="000000" w:themeColor="text1"/>
          <w:sz w:val="24"/>
          <w:szCs w:val="24"/>
          <w:highlight w:val="none"/>
        </w:rPr>
        <w:t xml:space="preserve">2010 года № 436-ФЗ «О защите детей от информации, причиняющей вред их здоровью и развитию», обеспечению информационной безопасности.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6"/>
          <w:highlight w:val="none"/>
          <w:lang w:eastAsia="en-US"/>
        </w:rPr>
        <w:t xml:space="preserve">Обеспечение осуществления Департаментом оценки качества оказания социально ориентированными некоммерческими организациями</w:t>
      </w:r>
      <w:r>
        <w:rPr>
          <w:color w:val="000000" w:themeColor="text1"/>
          <w:sz w:val="24"/>
          <w:szCs w:val="26"/>
          <w:highlight w:val="none"/>
          <w:lang w:eastAsia="en-US"/>
        </w:rPr>
        <w:t xml:space="preserve"> </w:t>
      </w:r>
      <w:r>
        <w:rPr>
          <w:color w:val="000000" w:themeColor="text1"/>
          <w:sz w:val="24"/>
          <w:szCs w:val="26"/>
          <w:highlight w:val="none"/>
          <w:lang w:eastAsia="en-US"/>
        </w:rPr>
        <w:t xml:space="preserve">следующих общественно полезных услуг: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- </w:t>
      </w:r>
      <w:r>
        <w:rPr>
          <w:color w:val="000000" w:themeColor="text1"/>
          <w:sz w:val="24"/>
          <w:szCs w:val="24"/>
          <w:highlight w:val="none"/>
        </w:rPr>
        <w:t xml:space="preserve">в</w:t>
      </w:r>
      <w:r>
        <w:rPr>
          <w:color w:val="000000" w:themeColor="text1"/>
          <w:sz w:val="24"/>
          <w:szCs w:val="24"/>
          <w:highlight w:val="none"/>
        </w:rPr>
        <w:t xml:space="preserve">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- </w:t>
      </w:r>
      <w:r>
        <w:rPr>
          <w:color w:val="000000" w:themeColor="text1"/>
          <w:sz w:val="24"/>
          <w:szCs w:val="24"/>
          <w:highlight w:val="none"/>
        </w:rPr>
        <w:t xml:space="preserve">о</w:t>
      </w:r>
      <w:r>
        <w:rPr>
          <w:color w:val="000000" w:themeColor="text1"/>
          <w:sz w:val="24"/>
          <w:szCs w:val="24"/>
          <w:highlight w:val="none"/>
        </w:rPr>
        <w:t xml:space="preserve">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</w:r>
      <w:r>
        <w:rPr>
          <w:color w:val="000000" w:themeColor="text1"/>
          <w:sz w:val="24"/>
          <w:szCs w:val="24"/>
          <w:highlight w:val="none"/>
        </w:rPr>
        <w:t xml:space="preserve">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подготовки (участия в подготовке</w:t>
      </w:r>
      <w:r>
        <w:rPr>
          <w:color w:val="000000" w:themeColor="text1"/>
          <w:sz w:val="24"/>
          <w:szCs w:val="24"/>
          <w:highlight w:val="none"/>
        </w:rPr>
        <w:t xml:space="preserve">) нормативных документов Департамента профессионального образования Томской области по тематике в рамках своей компетенции.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участвовать в организации в о</w:t>
      </w:r>
      <w:r>
        <w:rPr>
          <w:color w:val="000000" w:themeColor="text1"/>
          <w:sz w:val="24"/>
          <w:szCs w:val="24"/>
          <w:highlight w:val="none"/>
        </w:rPr>
        <w:t xml:space="preserve">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дней отрасли, дней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участвовать в подготовке и проведении совещаний, конференций, встреч, конкурсов и т.д.;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формированию аналитических, отчетных, статистических материалов по системе среднего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разрабатывать (участие в разработке) аналитические материалы (обобщение имеющейся информации) о реализации на террито</w:t>
      </w:r>
      <w:r>
        <w:rPr>
          <w:color w:val="000000" w:themeColor="text1"/>
          <w:sz w:val="24"/>
          <w:szCs w:val="24"/>
          <w:highlight w:val="none"/>
        </w:rPr>
        <w:t xml:space="preserve">рии Томской области правовых актов в сфере деятельности Департамента профессионального образования Томской области (в том числе целевых программ), федеральных программ (в реализации которых участвует Департамент профессионального образования Томской област</w:t>
      </w:r>
      <w:r>
        <w:rPr>
          <w:color w:val="000000" w:themeColor="text1"/>
          <w:sz w:val="24"/>
          <w:szCs w:val="24"/>
          <w:highlight w:val="none"/>
        </w:rPr>
        <w:t xml:space="preserve">и), международных и региональных соглашений (договоров), в реализации которых участвует Департамента профессионального образования Томской области, в виде аналитических материалов либо проектов решений совещательных органов при Губернаторе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работать с запросами от органов государственной власти различных уровней и МСУ, сторонних организаций (по поручению вышестоящих руководителей Департамента профессионального образования Томской области), работа с письмами и обращениями граждан;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осуществлять организацию работы по сбору информации для составления, непосредственное составление, при необходимости актуализации номенклатуры дел в комитете социального и ресурсного обеспечения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нести иные обязанности в соответствии с действующим законодательством Российской Федерации.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Права: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профессионального образования Томской области по исполнению возложенных на гражданского служащего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вносить на рассмотрение начальника Д</w:t>
      </w:r>
      <w:r>
        <w:rPr>
          <w:color w:val="000000" w:themeColor="text1"/>
          <w:sz w:val="24"/>
          <w:szCs w:val="24"/>
          <w:highlight w:val="none"/>
        </w:rPr>
        <w:t xml:space="preserve">епартамента профессионального образования Томской области, касающиеся сферы деятельности Департамента профессионального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запрашивать и получать от сотрудников Департамента профессионального образования Томской области, ру</w:t>
      </w:r>
      <w:r>
        <w:rPr>
          <w:color w:val="000000" w:themeColor="text1"/>
          <w:sz w:val="24"/>
          <w:szCs w:val="24"/>
          <w:highlight w:val="none"/>
        </w:rPr>
        <w:t xml:space="preserve">ководителей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требовать от руководства Департамента профессионального образования Томской области создания необходимых условий для выполнения своих должностных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Показатели результативности и эффективности профессиональной служебной деятельности: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</w:t>
      </w:r>
      <w:r>
        <w:rPr>
          <w:color w:val="000000" w:themeColor="text1"/>
          <w:sz w:val="24"/>
          <w:szCs w:val="24"/>
          <w:highlight w:val="none"/>
        </w:rPr>
        <w:t xml:space="preserve">воевременность исполнения служебных/должностных обязанностей государственным гражданским служащим и подчиненными ему сотрудниками Департамента профессионального образования Томской области, представления предусмотренной отчетности и необходимой информации;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</w:t>
      </w:r>
      <w:r>
        <w:rPr>
          <w:color w:val="000000" w:themeColor="text1"/>
          <w:sz w:val="24"/>
          <w:szCs w:val="24"/>
          <w:highlight w:val="none"/>
        </w:rPr>
        <w:t xml:space="preserve">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</w:t>
      </w:r>
      <w:r>
        <w:rPr>
          <w:color w:val="000000" w:themeColor="text1"/>
          <w:sz w:val="24"/>
          <w:szCs w:val="24"/>
          <w:highlight w:val="none"/>
        </w:rPr>
        <w:t xml:space="preserve"> гражданского служащего и починенных ему сотрудников Департамента профессионального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профессионального образования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профессионального образования Томской области.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3.2.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</w:t>
      </w:r>
      <w:r>
        <w:rPr>
          <w:color w:val="000000" w:themeColor="text1"/>
          <w:sz w:val="24"/>
          <w:szCs w:val="24"/>
          <w:highlight w:val="none"/>
        </w:rPr>
        <w:t xml:space="preserve">их должностных обязанностей: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Обязан принимать решения: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 организации порядка и методики своей работы в соответствии с возложенными на него функциями, в том числе, по распределению обязанностей между подчиненными ему сотрудниками Департамента профессионального образования Томской области.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Вправе принимать решения: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осуществлению контроля за своевременным и качественным исполнением подчиненными сотрудниками Департамента профессионального образования Томской области своих должностных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подготовке предложений начальнику Департамента профессионального образован</w:t>
      </w:r>
      <w:r>
        <w:rPr>
          <w:color w:val="000000" w:themeColor="text1"/>
          <w:sz w:val="24"/>
          <w:szCs w:val="24"/>
          <w:highlight w:val="none"/>
        </w:rPr>
        <w:t xml:space="preserve">ия Томской области о поощрении подчиненных ему сотрудников Департамента профессионального образования Томской области, а также о привлечении их к ответственности  за неисполнение, либо ненадлежащее исполнение ими своих служебных (должностных)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запросу у других гражданских служащих информации и документов, необходимых для выполнения своих служебных обязанностей и поручений;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spacing w:after="240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самостоятельному обращению (в том числе по электронной почте или посредством телефонной связи) к непосредственному исполнителю документов, полученных от структурный по</w:t>
      </w:r>
      <w:r>
        <w:rPr>
          <w:color w:val="000000" w:themeColor="text1"/>
          <w:sz w:val="24"/>
          <w:szCs w:val="24"/>
          <w:highlight w:val="none"/>
        </w:rPr>
        <w:t xml:space="preserve">дразделений Администрации Томской области и иных исполнительных органов государственной власти Томской области, органов местного самоуправления, областных государственных учреждений, если содержащаяся в них информация, необходимая для исполнения государств</w:t>
      </w:r>
      <w:r>
        <w:rPr>
          <w:color w:val="000000" w:themeColor="text1"/>
          <w:sz w:val="24"/>
          <w:szCs w:val="24"/>
          <w:highlight w:val="none"/>
        </w:rPr>
        <w:t xml:space="preserve">енным гражданским служащим своих функций, не является полной, требуются какие-либо уточнения или нарушаются сроки ее представления. В случае отказа исполнителя выполнить поручение, государственный гражданский служащий имеет право обратиться к руководителю.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4. Перечень государственных услуг,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оказываемых гражданам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и организациям в соответствии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с административным регламентом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органа государственной власти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Томской области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spacing w:before="240" w:after="240"/>
        <w:rPr>
          <w:b/>
          <w:color w:val="000000"/>
          <w:sz w:val="24"/>
          <w:szCs w:val="24"/>
          <w:highlight w:val="none"/>
        </w:rPr>
      </w:pPr>
      <w:r>
        <w:rPr>
          <w:b/>
          <w:color w:val="000000" w:themeColor="text1"/>
          <w:sz w:val="24"/>
          <w:szCs w:val="24"/>
          <w:highlight w:val="none"/>
        </w:rPr>
        <w:t xml:space="preserve">Не оказывает предоставления государственных услуг.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5. Сроки и процедуры подготовки, рассмотрения проектов управленческих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и иных решений, порядок согласования и принятия данных решений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both"/>
        <w:rPr>
          <w:b/>
          <w:color w:val="000000"/>
          <w:sz w:val="24"/>
          <w:szCs w:val="24"/>
          <w:highlight w:val="none"/>
        </w:rPr>
        <w:pBdr>
          <w:bottom w:val="single" w:color="000000" w:sz="4" w:space="1"/>
        </w:pBdr>
      </w:pPr>
      <w:r>
        <w:rPr>
          <w:b/>
          <w:color w:val="000000" w:themeColor="text1"/>
          <w:sz w:val="24"/>
          <w:szCs w:val="24"/>
          <w:highlight w:val="none"/>
        </w:rPr>
        <w:tab/>
        <w:t xml:space="preserve">В соответствии с законодательными и иными нормативными правовыми актами Российской Федерации и Томской области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6. Порядок служебного взаимодействия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государственного гражданского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служащего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в связи с исполнением им должностных обязанностей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6.1.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Порядок служебного взаимодействия государственного гражданского служащего с </w:t>
      </w:r>
      <w:r>
        <w:rPr>
          <w:color w:val="000000" w:themeColor="text1"/>
          <w:sz w:val="24"/>
          <w:szCs w:val="24"/>
          <w:highlight w:val="none"/>
        </w:rPr>
        <w:t xml:space="preserve">государственными </w:t>
      </w:r>
      <w:r>
        <w:rPr>
          <w:color w:val="000000" w:themeColor="text1"/>
          <w:sz w:val="24"/>
          <w:szCs w:val="24"/>
          <w:highlight w:val="none"/>
        </w:rPr>
        <w:t xml:space="preserve">гражданскими служащими этого же органа государственной власти Томской области</w:t>
      </w:r>
      <w:r>
        <w:rPr>
          <w:color w:val="000000" w:themeColor="text1"/>
          <w:sz w:val="24"/>
          <w:szCs w:val="24"/>
          <w:highlight w:val="none"/>
        </w:rPr>
        <w:t xml:space="preserve">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государственный гражданский служащий обязан выполнять поручения начальника Департамента профессионального образования Томской области, заместителя начальника Департамента профессиональн</w:t>
      </w:r>
      <w:r>
        <w:rPr>
          <w:color w:val="000000" w:themeColor="text1"/>
          <w:sz w:val="24"/>
          <w:szCs w:val="24"/>
          <w:highlight w:val="none"/>
        </w:rPr>
        <w:t xml:space="preserve">ого образования Томской области</w:t>
      </w:r>
      <w:r>
        <w:rPr>
          <w:color w:val="000000" w:themeColor="text1"/>
          <w:sz w:val="24"/>
          <w:szCs w:val="24"/>
          <w:highlight w:val="none"/>
        </w:rPr>
        <w:t xml:space="preserve">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государственный гражданский служащий непосредственно взаимодействует с сотрудниками структурных подразделений Департамента профессионального образования Томской области.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6.2.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Порядок служебного взаимодействия государственного гражданского служащего с</w:t>
      </w:r>
      <w:r>
        <w:rPr>
          <w:color w:val="000000" w:themeColor="text1"/>
          <w:sz w:val="24"/>
          <w:szCs w:val="24"/>
          <w:highlight w:val="none"/>
        </w:rPr>
        <w:t xml:space="preserve"> государственными</w:t>
      </w:r>
      <w:r>
        <w:rPr>
          <w:color w:val="000000" w:themeColor="text1"/>
          <w:sz w:val="24"/>
          <w:szCs w:val="24"/>
          <w:highlight w:val="none"/>
        </w:rPr>
        <w:t xml:space="preserve">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>
        <w:rPr>
          <w:color w:val="000000" w:themeColor="text1"/>
          <w:sz w:val="24"/>
          <w:szCs w:val="24"/>
          <w:highlight w:val="none"/>
        </w:rPr>
        <w:t xml:space="preserve">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государственных гражданский служащий при исполнении своих функций вправе взаимодействовать с иными исполнительными органами государственной власти Томской области в соответствии с положениями нормативных правовых актов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при осуще</w:t>
      </w:r>
      <w:r>
        <w:rPr>
          <w:color w:val="000000" w:themeColor="text1"/>
          <w:sz w:val="24"/>
          <w:szCs w:val="24"/>
          <w:highlight w:val="none"/>
        </w:rPr>
        <w:t xml:space="preserve">ствлении своих функций государственный гражданский служащий вправе запрашивать необходимую информацию у органов государственной власти Томской области, федеральных органов государственной власти, органов местного самоуправления в устной (письменной) форме.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6.3.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Порядок служебного взаимодействия государственного гражданского служащего с другими организациями и гражданами</w:t>
      </w:r>
      <w:r>
        <w:rPr>
          <w:color w:val="000000" w:themeColor="text1"/>
          <w:sz w:val="24"/>
          <w:szCs w:val="24"/>
          <w:highlight w:val="none"/>
        </w:rPr>
        <w:t xml:space="preserve">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работает с обращениями граждан и организаций в соответствии с Федеральным законом от 02.05.2006 № 59-ФЗ «О порядке рассмотрения обращ</w:t>
      </w:r>
      <w:r>
        <w:rPr>
          <w:color w:val="000000" w:themeColor="text1"/>
          <w:sz w:val="24"/>
          <w:szCs w:val="24"/>
          <w:highlight w:val="none"/>
        </w:rPr>
        <w:t xml:space="preserve">ений граждан Российской Федерации», Законом Томской области от 11.01.2007 № 5-ОЗ «Об обращениях граждан в государственные органы Томской области и органы местного самоуправления» и иными нормативными правовыми актами Российской Федерации и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взаимодействует с организациями, осуществляющими образовательную деятельность в сфере среднего профессионального образования на территории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взаимодействует с другими организациями (независимо от </w:t>
      </w:r>
      <w:r>
        <w:rPr>
          <w:color w:val="000000" w:themeColor="text1"/>
          <w:sz w:val="24"/>
          <w:szCs w:val="24"/>
          <w:highlight w:val="none"/>
        </w:rPr>
        <w:t xml:space="preserve">их ведомственной и имущественной принадлежности и организационно-правовой формы) и гражданами, взаимодействие с которыми определено функциями, обязанностями и правами, изложенными в положении об исполнительном органе государственной власти Томской области.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0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7. </w:t>
      </w:r>
      <w:r>
        <w:rPr>
          <w:color w:val="000000" w:themeColor="text1"/>
          <w:sz w:val="24"/>
          <w:szCs w:val="24"/>
          <w:highlight w:val="none"/>
        </w:rPr>
        <w:t xml:space="preserve">Поощрение и ответственность государственного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гражданского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служащего за результаты исполнения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должностных обязанностей,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соблюдение ограничений и запретов,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требований о предотвращении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или об урегулировании конфликта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интересов и исполнение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обязанностей, установленных в целях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sz w:val="24"/>
          <w:szCs w:val="24"/>
          <w:highlight w:val="none"/>
        </w:rPr>
        <w:t xml:space="preserve">противодействия коррупции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center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7.1.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Поощрение и награждение государственного гражданского служащего</w:t>
      </w:r>
      <w:r>
        <w:rPr>
          <w:color w:val="000000" w:themeColor="text1"/>
          <w:sz w:val="24"/>
          <w:szCs w:val="24"/>
          <w:highlight w:val="none"/>
        </w:rPr>
        <w:t xml:space="preserve">:</w:t>
      </w:r>
      <w:r>
        <w:rPr>
          <w:color w:val="000000" w:themeColor="text1"/>
          <w:sz w:val="24"/>
          <w:szCs w:val="24"/>
          <w:highlight w:val="none"/>
        </w:rPr>
        <w:t xml:space="preserve"> 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 результативности и эффективности его профессиональной деятельности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ind w:firstLine="567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widowControl w:val="off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7.2.</w:t>
      </w:r>
      <w:r>
        <w:rPr>
          <w:color w:val="000000" w:themeColor="text1"/>
          <w:sz w:val="24"/>
          <w:szCs w:val="24"/>
          <w:highlight w:val="none"/>
        </w:rPr>
        <w:t xml:space="preserve"> </w:t>
      </w:r>
      <w:r>
        <w:rPr>
          <w:color w:val="000000" w:themeColor="text1"/>
          <w:sz w:val="24"/>
          <w:szCs w:val="24"/>
          <w:highlight w:val="none"/>
        </w:rPr>
        <w:t xml:space="preserve">Ответственность государственного гражданского служащего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>
        <w:rPr>
          <w:color w:val="000000" w:themeColor="text1"/>
          <w:sz w:val="24"/>
          <w:szCs w:val="24"/>
          <w:highlight w:val="none"/>
        </w:rPr>
        <w:br/>
      </w:r>
      <w:r>
        <w:rPr>
          <w:color w:val="000000" w:themeColor="text1"/>
          <w:sz w:val="24"/>
          <w:szCs w:val="24"/>
          <w:highlight w:val="none"/>
        </w:rPr>
        <w:t xml:space="preserve"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>
        <w:rPr>
          <w:color w:val="000000" w:themeColor="text1"/>
          <w:sz w:val="24"/>
          <w:szCs w:val="24"/>
          <w:highlight w:val="none"/>
        </w:rPr>
        <w:t xml:space="preserve">№ 79-ФЗ «</w:t>
      </w:r>
      <w:r>
        <w:rPr>
          <w:color w:val="000000" w:themeColor="text1"/>
          <w:sz w:val="24"/>
          <w:szCs w:val="24"/>
          <w:highlight w:val="none"/>
        </w:rPr>
        <w:t xml:space="preserve">О государственной гражданской службе Российской Федерации</w:t>
      </w:r>
      <w:r>
        <w:rPr>
          <w:color w:val="000000" w:themeColor="text1"/>
          <w:sz w:val="24"/>
          <w:szCs w:val="24"/>
          <w:highlight w:val="none"/>
        </w:rPr>
        <w:t xml:space="preserve">»</w:t>
      </w:r>
      <w:r>
        <w:rPr>
          <w:color w:val="000000" w:themeColor="text1"/>
          <w:sz w:val="24"/>
          <w:szCs w:val="24"/>
          <w:highlight w:val="none"/>
        </w:rPr>
        <w:t xml:space="preserve">, Федеральным законом от 25 декабря 2008 года </w:t>
      </w:r>
      <w:r>
        <w:rPr>
          <w:color w:val="000000" w:themeColor="text1"/>
          <w:sz w:val="24"/>
          <w:szCs w:val="24"/>
          <w:highlight w:val="none"/>
        </w:rPr>
        <w:t xml:space="preserve">№ 273-ФЗ «</w:t>
      </w:r>
      <w:r>
        <w:rPr>
          <w:color w:val="000000" w:themeColor="text1"/>
          <w:sz w:val="24"/>
          <w:szCs w:val="24"/>
          <w:highlight w:val="none"/>
        </w:rPr>
        <w:t xml:space="preserve">О противодействии коррупции</w:t>
      </w:r>
      <w:r>
        <w:rPr>
          <w:color w:val="000000" w:themeColor="text1"/>
          <w:sz w:val="24"/>
          <w:szCs w:val="24"/>
          <w:highlight w:val="none"/>
        </w:rPr>
        <w:t xml:space="preserve">»</w:t>
      </w:r>
      <w:r>
        <w:rPr>
          <w:color w:val="000000" w:themeColor="text1"/>
          <w:sz w:val="24"/>
          <w:szCs w:val="24"/>
          <w:highlight w:val="none"/>
        </w:rPr>
        <w:t xml:space="preserve"> и другими федеральными законами.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Основными показателями неисполнения или ненадлежащего исполнения служебных обязанностей являются: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а) срыв, без уважительной причины, сроков исполнения служебных обязанностей;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б) нарушение Регламента работы Администрации Томской области;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в)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jc w:val="both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  <w:t xml:space="preserve">г) несоблюдение требований и обязанностей, предусмотренных законодательством Российской Федерации и Томской области и норматив</w:t>
      </w:r>
      <w:r>
        <w:rPr>
          <w:color w:val="000000" w:themeColor="text1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тайне.</w:t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p>
      <w:pPr>
        <w:pStyle w:val="872"/>
        <w:rPr>
          <w:color w:val="000000"/>
          <w:sz w:val="24"/>
          <w:szCs w:val="24"/>
          <w:highlight w:val="none"/>
        </w:rPr>
      </w:pP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highlight w:val="none"/>
        </w:rPr>
      </w:r>
      <w:r>
        <w:rPr>
          <w:highlight w:val="none"/>
        </w:rPr>
      </w:r>
    </w:p>
    <w:sectPr>
      <w:footerReference w:type="default" r:id="rId9"/>
      <w:footerReference w:type="first" r:id="rId10"/>
      <w:footnotePr/>
      <w:endnotePr/>
      <w:type w:val="nextPage"/>
      <w:pgSz w:w="11907" w:h="16840" w:orient="portrait"/>
      <w:pgMar w:top="851" w:right="851" w:bottom="965" w:left="992" w:header="0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Batang">
    <w:panose1 w:val="02010600030101010101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11</w:t>
    </w:r>
    <w:r>
      <w:fldChar w:fldCharType="end"/>
    </w:r>
    <w:r>
      <w:rPr>
        <w:lang w:val="ru-RU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0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lang w:val="ru-RU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425" w:hanging="885"/>
      </w:pPr>
    </w:lvl>
    <w:lvl w:ilvl="1">
      <w:start w:val="1"/>
      <w:numFmt w:val="decimal"/>
      <w:isLgl w:val="false"/>
      <w:suff w:val="tab"/>
      <w:lvlText w:val="%2)"/>
      <w:lvlJc w:val="left"/>
      <w:pPr>
        <w:pStyle w:val="872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704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0" w:legacySpace="0"/>
      <w:lvlJc w:val="left"/>
      <w:pPr>
        <w:pStyle w:val="872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69" w:hanging="360"/>
      </w:pPr>
      <w:rPr>
        <w:rFonts w:ascii="Times New Roman" w:hAnsi="Times New Roman" w:eastAsia="SimSun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2"/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70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069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9">
    <w:multiLevelType w:val="hybridMultilevel"/>
    <w:lvl w:ilvl="0">
      <w:start w:val="12"/>
      <w:numFmt w:val="bullet"/>
      <w:isLgl w:val="false"/>
      <w:suff w:val="tab"/>
      <w:lvlText w:val="-"/>
      <w:lvlJc w:val="left"/>
      <w:pPr>
        <w:pStyle w:val="872"/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72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72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72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72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72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72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72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72"/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350" w:hanging="81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905" w:hanging="118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72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1412" w:hanging="87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6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2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2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2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72"/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72"/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72"/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72"/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72"/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72"/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72"/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72"/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72"/>
        <w:ind w:left="666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6"/>
  </w:num>
  <w:num w:numId="5">
    <w:abstractNumId w:val="12"/>
  </w:num>
  <w:num w:numId="6">
    <w:abstractNumId w:val="3"/>
  </w:num>
  <w:num w:numId="7">
    <w:abstractNumId w:val="10"/>
  </w:num>
  <w:num w:numId="8">
    <w:abstractNumId w:val="14"/>
  </w:num>
  <w:num w:numId="9">
    <w:abstractNumId w:val="1"/>
  </w:num>
  <w:num w:numId="10">
    <w:abstractNumId w:val="11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72"/>
    <w:next w:val="872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95">
    <w:name w:val="Heading 1 Char"/>
    <w:link w:val="694"/>
    <w:uiPriority w:val="9"/>
    <w:rPr>
      <w:rFonts w:ascii="Arial" w:hAnsi="Arial" w:cs="Arial" w:eastAsia="Arial"/>
      <w:sz w:val="40"/>
      <w:szCs w:val="40"/>
    </w:rPr>
  </w:style>
  <w:style w:type="paragraph" w:styleId="696">
    <w:name w:val="Heading 2"/>
    <w:basedOn w:val="872"/>
    <w:next w:val="872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97">
    <w:name w:val="Heading 2 Char"/>
    <w:link w:val="696"/>
    <w:uiPriority w:val="9"/>
    <w:rPr>
      <w:rFonts w:ascii="Arial" w:hAnsi="Arial" w:cs="Arial" w:eastAsia="Arial"/>
      <w:sz w:val="34"/>
    </w:rPr>
  </w:style>
  <w:style w:type="paragraph" w:styleId="698">
    <w:name w:val="Heading 3"/>
    <w:basedOn w:val="872"/>
    <w:next w:val="872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9">
    <w:name w:val="Heading 3 Char"/>
    <w:link w:val="698"/>
    <w:uiPriority w:val="9"/>
    <w:rPr>
      <w:rFonts w:ascii="Arial" w:hAnsi="Arial" w:cs="Arial" w:eastAsia="Arial"/>
      <w:sz w:val="30"/>
      <w:szCs w:val="30"/>
    </w:rPr>
  </w:style>
  <w:style w:type="paragraph" w:styleId="700">
    <w:name w:val="Heading 4"/>
    <w:basedOn w:val="872"/>
    <w:next w:val="872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01">
    <w:name w:val="Heading 4 Char"/>
    <w:link w:val="700"/>
    <w:uiPriority w:val="9"/>
    <w:rPr>
      <w:rFonts w:ascii="Arial" w:hAnsi="Arial" w:cs="Arial" w:eastAsia="Arial"/>
      <w:b/>
      <w:bCs/>
      <w:sz w:val="26"/>
      <w:szCs w:val="26"/>
    </w:rPr>
  </w:style>
  <w:style w:type="paragraph" w:styleId="702">
    <w:name w:val="Heading 5"/>
    <w:basedOn w:val="872"/>
    <w:next w:val="872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03">
    <w:name w:val="Heading 5 Char"/>
    <w:link w:val="702"/>
    <w:uiPriority w:val="9"/>
    <w:rPr>
      <w:rFonts w:ascii="Arial" w:hAnsi="Arial" w:cs="Arial" w:eastAsia="Arial"/>
      <w:b/>
      <w:bCs/>
      <w:sz w:val="24"/>
      <w:szCs w:val="24"/>
    </w:rPr>
  </w:style>
  <w:style w:type="paragraph" w:styleId="704">
    <w:name w:val="Heading 6"/>
    <w:basedOn w:val="872"/>
    <w:next w:val="872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05">
    <w:name w:val="Heading 6 Char"/>
    <w:link w:val="704"/>
    <w:uiPriority w:val="9"/>
    <w:rPr>
      <w:rFonts w:ascii="Arial" w:hAnsi="Arial" w:cs="Arial" w:eastAsia="Arial"/>
      <w:b/>
      <w:bCs/>
      <w:sz w:val="22"/>
      <w:szCs w:val="22"/>
    </w:rPr>
  </w:style>
  <w:style w:type="paragraph" w:styleId="706">
    <w:name w:val="Heading 7"/>
    <w:basedOn w:val="872"/>
    <w:next w:val="872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07">
    <w:name w:val="Heading 7 Char"/>
    <w:link w:val="70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8">
    <w:name w:val="Heading 8"/>
    <w:basedOn w:val="872"/>
    <w:next w:val="872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9">
    <w:name w:val="Heading 8 Char"/>
    <w:link w:val="708"/>
    <w:uiPriority w:val="9"/>
    <w:rPr>
      <w:rFonts w:ascii="Arial" w:hAnsi="Arial" w:cs="Arial" w:eastAsia="Arial"/>
      <w:i/>
      <w:iCs/>
      <w:sz w:val="22"/>
      <w:szCs w:val="22"/>
    </w:rPr>
  </w:style>
  <w:style w:type="paragraph" w:styleId="710">
    <w:name w:val="Heading 9"/>
    <w:basedOn w:val="872"/>
    <w:next w:val="872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11">
    <w:name w:val="Heading 9 Char"/>
    <w:link w:val="710"/>
    <w:uiPriority w:val="9"/>
    <w:rPr>
      <w:rFonts w:ascii="Arial" w:hAnsi="Arial" w:cs="Arial" w:eastAsia="Arial"/>
      <w:i/>
      <w:iCs/>
      <w:sz w:val="21"/>
      <w:szCs w:val="21"/>
    </w:rPr>
  </w:style>
  <w:style w:type="paragraph" w:styleId="712">
    <w:name w:val="List Paragraph"/>
    <w:basedOn w:val="872"/>
    <w:uiPriority w:val="34"/>
    <w:qFormat/>
    <w:pPr>
      <w:contextualSpacing/>
      <w:ind w:left="720"/>
    </w:pPr>
  </w:style>
  <w:style w:type="paragraph" w:styleId="713">
    <w:name w:val="No Spacing"/>
    <w:uiPriority w:val="1"/>
    <w:qFormat/>
    <w:pPr>
      <w:spacing w:before="0" w:after="0" w:line="240" w:lineRule="auto"/>
    </w:pPr>
  </w:style>
  <w:style w:type="paragraph" w:styleId="714">
    <w:name w:val="Title"/>
    <w:basedOn w:val="872"/>
    <w:next w:val="872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>
    <w:name w:val="Title Char"/>
    <w:link w:val="714"/>
    <w:uiPriority w:val="10"/>
    <w:rPr>
      <w:sz w:val="48"/>
      <w:szCs w:val="48"/>
    </w:rPr>
  </w:style>
  <w:style w:type="paragraph" w:styleId="716">
    <w:name w:val="Subtitle"/>
    <w:basedOn w:val="872"/>
    <w:next w:val="87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link w:val="716"/>
    <w:uiPriority w:val="11"/>
    <w:rPr>
      <w:sz w:val="24"/>
      <w:szCs w:val="24"/>
    </w:rPr>
  </w:style>
  <w:style w:type="paragraph" w:styleId="718">
    <w:name w:val="Quote"/>
    <w:basedOn w:val="872"/>
    <w:next w:val="872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72"/>
    <w:next w:val="872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paragraph" w:styleId="722">
    <w:name w:val="Header"/>
    <w:basedOn w:val="872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Header Char"/>
    <w:link w:val="722"/>
    <w:uiPriority w:val="99"/>
  </w:style>
  <w:style w:type="paragraph" w:styleId="724">
    <w:name w:val="Footer"/>
    <w:basedOn w:val="87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5">
    <w:name w:val="Footer Char"/>
    <w:link w:val="724"/>
    <w:uiPriority w:val="99"/>
  </w:style>
  <w:style w:type="paragraph" w:styleId="726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>
    <w:name w:val="Caption Char"/>
    <w:basedOn w:val="726"/>
    <w:link w:val="724"/>
    <w:uiPriority w:val="99"/>
  </w:style>
  <w:style w:type="table" w:styleId="72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4">
    <w:name w:val="Hyperlink"/>
    <w:uiPriority w:val="99"/>
    <w:unhideWhenUsed/>
    <w:rPr>
      <w:color w:val="0000FF" w:themeColor="hyperlink"/>
      <w:u w:val="single"/>
    </w:r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next w:val="872"/>
    <w:link w:val="872"/>
    <w:pPr>
      <w:ind w:firstLine="709"/>
    </w:pPr>
    <w:rPr>
      <w:sz w:val="26"/>
      <w:lang w:val="ru-RU" w:bidi="ar-SA" w:eastAsia="ru-RU"/>
    </w:rPr>
  </w:style>
  <w:style w:type="paragraph" w:styleId="873">
    <w:name w:val="Заголовок 1"/>
    <w:basedOn w:val="872"/>
    <w:next w:val="872"/>
    <w:link w:val="898"/>
    <w:pPr>
      <w:ind w:left="427" w:firstLine="0"/>
      <w:jc w:val="both"/>
      <w:keepNext/>
      <w:spacing w:before="288" w:line="226" w:lineRule="exact"/>
      <w:shd w:val="clear" w:color="auto" w:fill="ffffff"/>
      <w:outlineLvl w:val="0"/>
    </w:pPr>
    <w:rPr>
      <w:b/>
      <w:color w:val="000000"/>
      <w:spacing w:val="-2"/>
      <w:sz w:val="25"/>
      <w:lang w:val="en-US" w:eastAsia="en-US"/>
    </w:rPr>
  </w:style>
  <w:style w:type="paragraph" w:styleId="874">
    <w:name w:val="Заголовок 2"/>
    <w:basedOn w:val="872"/>
    <w:next w:val="872"/>
    <w:link w:val="91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styleId="875">
    <w:name w:val="Основной шрифт абзаца"/>
    <w:next w:val="875"/>
    <w:link w:val="872"/>
    <w:semiHidden/>
  </w:style>
  <w:style w:type="table" w:styleId="876">
    <w:name w:val="Обычная таблица"/>
    <w:next w:val="876"/>
    <w:link w:val="872"/>
    <w:semiHidden/>
    <w:tblPr/>
  </w:style>
  <w:style w:type="numbering" w:styleId="877">
    <w:name w:val="Нет списка"/>
    <w:next w:val="877"/>
    <w:link w:val="872"/>
    <w:semiHidden/>
  </w:style>
  <w:style w:type="paragraph" w:styleId="878">
    <w:name w:val="Основной текст"/>
    <w:basedOn w:val="872"/>
    <w:next w:val="872"/>
    <w:link w:val="911"/>
    <w:pPr>
      <w:ind w:firstLine="0"/>
      <w:jc w:val="both"/>
    </w:pPr>
    <w:rPr>
      <w:sz w:val="22"/>
      <w:lang w:val="en-US" w:eastAsia="en-US"/>
    </w:rPr>
  </w:style>
  <w:style w:type="paragraph" w:styleId="879">
    <w:name w:val="Верхний колонтитул"/>
    <w:basedOn w:val="872"/>
    <w:next w:val="879"/>
    <w:link w:val="894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  <w:lang w:val="en-US" w:eastAsia="en-US"/>
    </w:rPr>
  </w:style>
  <w:style w:type="paragraph" w:styleId="880">
    <w:name w:val="Нижний колонтитул"/>
    <w:basedOn w:val="872"/>
    <w:next w:val="880"/>
    <w:link w:val="914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881">
    <w:name w:val="Номер страницы"/>
    <w:basedOn w:val="875"/>
    <w:next w:val="881"/>
    <w:link w:val="872"/>
  </w:style>
  <w:style w:type="paragraph" w:styleId="882">
    <w:name w:val="Название объекта"/>
    <w:basedOn w:val="872"/>
    <w:next w:val="872"/>
    <w:link w:val="872"/>
    <w:pPr>
      <w:jc w:val="center"/>
    </w:pPr>
    <w:rPr>
      <w:b/>
      <w:sz w:val="28"/>
    </w:rPr>
  </w:style>
  <w:style w:type="paragraph" w:styleId="883">
    <w:name w:val="Основной текст 2"/>
    <w:basedOn w:val="872"/>
    <w:next w:val="883"/>
    <w:link w:val="900"/>
    <w:pPr>
      <w:ind w:right="5102" w:firstLine="0"/>
      <w:jc w:val="center"/>
      <w:spacing w:before="120"/>
    </w:pPr>
    <w:rPr>
      <w:lang w:val="en-US" w:eastAsia="en-US"/>
    </w:rPr>
  </w:style>
  <w:style w:type="paragraph" w:styleId="884">
    <w:name w:val="Обращение"/>
    <w:basedOn w:val="872"/>
    <w:next w:val="872"/>
    <w:link w:val="872"/>
    <w:pPr>
      <w:ind w:firstLine="0"/>
      <w:jc w:val="center"/>
      <w:spacing w:before="240" w:after="120"/>
    </w:pPr>
    <w:rPr>
      <w:b/>
    </w:rPr>
  </w:style>
  <w:style w:type="paragraph" w:styleId="885">
    <w:name w:val="Адресные реквизиты"/>
    <w:basedOn w:val="878"/>
    <w:next w:val="878"/>
    <w:link w:val="872"/>
    <w:pPr>
      <w:jc w:val="left"/>
    </w:pPr>
    <w:rPr>
      <w:sz w:val="16"/>
    </w:rPr>
  </w:style>
  <w:style w:type="paragraph" w:styleId="886">
    <w:name w:val="Адресат"/>
    <w:basedOn w:val="872"/>
    <w:next w:val="886"/>
    <w:link w:val="872"/>
    <w:pPr>
      <w:ind w:firstLine="0"/>
      <w:spacing w:before="120"/>
    </w:pPr>
    <w:rPr>
      <w:b/>
    </w:rPr>
  </w:style>
  <w:style w:type="paragraph" w:styleId="887">
    <w:name w:val="Основной текст 3"/>
    <w:basedOn w:val="872"/>
    <w:next w:val="887"/>
    <w:link w:val="895"/>
    <w:pPr>
      <w:ind w:firstLine="0"/>
      <w:spacing w:before="120"/>
      <w:tabs>
        <w:tab w:val="left" w:pos="7371" w:leader="none"/>
      </w:tabs>
    </w:pPr>
    <w:rPr>
      <w:sz w:val="28"/>
      <w:lang w:val="en-US" w:eastAsia="en-US"/>
    </w:rPr>
  </w:style>
  <w:style w:type="paragraph" w:styleId="888">
    <w:name w:val="Знак1 Знак Знак Знак"/>
    <w:basedOn w:val="872"/>
    <w:next w:val="888"/>
    <w:link w:val="872"/>
    <w:pPr>
      <w:ind w:firstLine="0"/>
    </w:pPr>
    <w:rPr>
      <w:rFonts w:ascii="Verdana" w:hAnsi="Verdana"/>
      <w:sz w:val="20"/>
      <w:lang w:val="en-US" w:eastAsia="en-US"/>
    </w:rPr>
  </w:style>
  <w:style w:type="paragraph" w:styleId="889">
    <w:name w:val="Основной текст с отступом"/>
    <w:basedOn w:val="872"/>
    <w:next w:val="889"/>
    <w:link w:val="917"/>
    <w:pPr>
      <w:ind w:left="283"/>
      <w:spacing w:after="120"/>
    </w:pPr>
    <w:rPr>
      <w:lang w:val="en-US" w:eastAsia="en-US"/>
    </w:rPr>
  </w:style>
  <w:style w:type="paragraph" w:styleId="890">
    <w:name w:val="ConsPlusNormal"/>
    <w:next w:val="890"/>
    <w:link w:val="872"/>
    <w:pPr>
      <w:widowControl w:val="off"/>
    </w:pPr>
    <w:rPr>
      <w:rFonts w:eastAsia="Batang"/>
      <w:sz w:val="24"/>
      <w:lang w:val="ru-RU" w:bidi="ar-SA" w:eastAsia="ko-KR"/>
    </w:rPr>
  </w:style>
  <w:style w:type="paragraph" w:styleId="891">
    <w:name w:val="ConsPlusTitle"/>
    <w:next w:val="891"/>
    <w:link w:val="872"/>
    <w:pPr>
      <w:widowControl w:val="off"/>
    </w:pPr>
    <w:rPr>
      <w:rFonts w:eastAsia="Batang"/>
      <w:b/>
      <w:sz w:val="24"/>
      <w:lang w:val="ru-RU" w:bidi="ar-SA" w:eastAsia="ko-KR"/>
    </w:rPr>
  </w:style>
  <w:style w:type="paragraph" w:styleId="892">
    <w:name w:val="Текст выноски"/>
    <w:basedOn w:val="872"/>
    <w:next w:val="892"/>
    <w:link w:val="893"/>
    <w:rPr>
      <w:rFonts w:ascii="Tahoma" w:hAnsi="Tahoma"/>
      <w:sz w:val="16"/>
      <w:szCs w:val="16"/>
      <w:lang w:val="en-US" w:eastAsia="en-US"/>
    </w:rPr>
  </w:style>
  <w:style w:type="character" w:styleId="893">
    <w:name w:val="Текст выноски Знак"/>
    <w:next w:val="893"/>
    <w:link w:val="892"/>
    <w:rPr>
      <w:rFonts w:ascii="Tahoma" w:hAnsi="Tahoma"/>
      <w:sz w:val="16"/>
      <w:szCs w:val="16"/>
    </w:rPr>
  </w:style>
  <w:style w:type="character" w:styleId="894">
    <w:name w:val="Верхний колонтитул Знак"/>
    <w:next w:val="894"/>
    <w:link w:val="879"/>
    <w:rPr>
      <w:b/>
      <w:caps/>
      <w:sz w:val="28"/>
    </w:rPr>
  </w:style>
  <w:style w:type="character" w:styleId="895">
    <w:name w:val="Основной текст 3 Знак"/>
    <w:next w:val="895"/>
    <w:link w:val="887"/>
    <w:rPr>
      <w:sz w:val="28"/>
    </w:rPr>
  </w:style>
  <w:style w:type="paragraph" w:styleId="896">
    <w:name w:val="ConsPlusCell"/>
    <w:next w:val="896"/>
    <w:link w:val="872"/>
    <w:pPr>
      <w:widowControl w:val="off"/>
    </w:pPr>
    <w:rPr>
      <w:sz w:val="24"/>
      <w:szCs w:val="24"/>
      <w:lang w:val="ru-RU" w:bidi="ar-SA" w:eastAsia="ru-RU"/>
    </w:rPr>
  </w:style>
  <w:style w:type="table" w:styleId="897">
    <w:name w:val="Сетка таблицы"/>
    <w:basedOn w:val="876"/>
    <w:next w:val="897"/>
    <w:link w:val="872"/>
    <w:tblPr/>
  </w:style>
  <w:style w:type="character" w:styleId="898">
    <w:name w:val="Заголовок 1 Знак"/>
    <w:next w:val="898"/>
    <w:link w:val="873"/>
    <w:rPr>
      <w:b/>
      <w:color w:val="000000"/>
      <w:spacing w:val="-2"/>
      <w:sz w:val="25"/>
      <w:shd w:val="clear" w:color="auto" w:fill="ffffff"/>
    </w:rPr>
  </w:style>
  <w:style w:type="paragraph" w:styleId="899">
    <w:name w:val="ConsTitle"/>
    <w:next w:val="899"/>
    <w:link w:val="872"/>
    <w:pPr>
      <w:ind w:right="19772"/>
      <w:widowControl w:val="off"/>
    </w:pPr>
    <w:rPr>
      <w:rFonts w:ascii="Arial" w:hAnsi="Arial"/>
      <w:b/>
      <w:bCs/>
      <w:lang w:val="ru-RU" w:bidi="ar-SA" w:eastAsia="ru-RU"/>
    </w:rPr>
  </w:style>
  <w:style w:type="character" w:styleId="900">
    <w:name w:val="Основной текст 2 Знак"/>
    <w:next w:val="900"/>
    <w:link w:val="883"/>
    <w:rPr>
      <w:sz w:val="26"/>
    </w:rPr>
  </w:style>
  <w:style w:type="paragraph" w:styleId="901">
    <w:name w:val=" Знак"/>
    <w:basedOn w:val="872"/>
    <w:next w:val="901"/>
    <w:link w:val="875"/>
    <w:pPr>
      <w:ind w:firstLine="0"/>
    </w:pPr>
    <w:rPr>
      <w:rFonts w:ascii="Verdana" w:hAnsi="Verdana"/>
      <w:sz w:val="20"/>
      <w:lang w:val="en-US" w:eastAsia="en-US"/>
    </w:rPr>
  </w:style>
  <w:style w:type="paragraph" w:styleId="902">
    <w:name w:val="Название"/>
    <w:basedOn w:val="872"/>
    <w:next w:val="902"/>
    <w:link w:val="903"/>
    <w:pPr>
      <w:ind w:left="130" w:firstLine="0"/>
      <w:jc w:val="center"/>
      <w:spacing w:line="365" w:lineRule="exact"/>
      <w:shd w:val="clear" w:color="auto" w:fill="ffffff"/>
      <w:widowControl w:val="off"/>
      <w:outlineLvl w:val="0"/>
    </w:pPr>
    <w:rPr>
      <w:b/>
      <w:color w:val="000000"/>
      <w:spacing w:val="-9"/>
      <w:sz w:val="28"/>
      <w:lang w:val="en-US" w:eastAsia="en-US"/>
    </w:rPr>
  </w:style>
  <w:style w:type="character" w:styleId="903">
    <w:name w:val="Название Знак"/>
    <w:next w:val="903"/>
    <w:link w:val="902"/>
    <w:rPr>
      <w:b/>
      <w:color w:val="000000"/>
      <w:spacing w:val="-9"/>
      <w:sz w:val="28"/>
      <w:shd w:val="clear" w:color="auto" w:fill="ffffff"/>
    </w:rPr>
  </w:style>
  <w:style w:type="character" w:styleId="904">
    <w:name w:val="Font Style13"/>
    <w:next w:val="904"/>
    <w:link w:val="872"/>
    <w:rPr>
      <w:rFonts w:ascii="Times New Roman" w:hAnsi="Times New Roman"/>
      <w:color w:val="000000"/>
      <w:sz w:val="26"/>
      <w:szCs w:val="26"/>
    </w:rPr>
  </w:style>
  <w:style w:type="paragraph" w:styleId="905">
    <w:name w:val="Style5"/>
    <w:basedOn w:val="872"/>
    <w:next w:val="905"/>
    <w:link w:val="872"/>
    <w:pPr>
      <w:ind w:firstLine="542"/>
      <w:jc w:val="both"/>
      <w:spacing w:line="279" w:lineRule="exact"/>
      <w:widowControl w:val="off"/>
    </w:pPr>
    <w:rPr>
      <w:sz w:val="24"/>
      <w:szCs w:val="24"/>
    </w:rPr>
  </w:style>
  <w:style w:type="character" w:styleId="906">
    <w:name w:val="Гиперссылка"/>
    <w:next w:val="906"/>
    <w:link w:val="872"/>
    <w:rPr>
      <w:color w:val="000080"/>
      <w:u w:val="single"/>
    </w:rPr>
  </w:style>
  <w:style w:type="character" w:styleId="907">
    <w:name w:val="Строгий"/>
    <w:next w:val="907"/>
    <w:link w:val="872"/>
    <w:rPr>
      <w:b/>
      <w:bCs/>
    </w:rPr>
  </w:style>
  <w:style w:type="character" w:styleId="908">
    <w:name w:val="Знак сноски"/>
    <w:next w:val="908"/>
    <w:link w:val="872"/>
    <w:rPr>
      <w:vertAlign w:val="superscript"/>
    </w:rPr>
  </w:style>
  <w:style w:type="character" w:styleId="909">
    <w:name w:val="Основной текст (2)_"/>
    <w:next w:val="909"/>
    <w:link w:val="910"/>
    <w:rPr>
      <w:b/>
      <w:bCs/>
      <w:spacing w:val="2"/>
      <w:sz w:val="26"/>
      <w:szCs w:val="26"/>
      <w:shd w:val="clear" w:color="auto" w:fill="ffffff"/>
    </w:rPr>
  </w:style>
  <w:style w:type="paragraph" w:styleId="910">
    <w:name w:val="Основной текст (2)"/>
    <w:basedOn w:val="872"/>
    <w:next w:val="910"/>
    <w:link w:val="909"/>
    <w:pPr>
      <w:ind w:firstLine="0"/>
      <w:jc w:val="center"/>
      <w:spacing w:before="540" w:after="360" w:line="0" w:lineRule="atLeast"/>
      <w:shd w:val="clear" w:color="auto" w:fill="ffffff"/>
      <w:widowControl w:val="off"/>
    </w:pPr>
    <w:rPr>
      <w:b/>
      <w:bCs/>
      <w:spacing w:val="2"/>
      <w:szCs w:val="26"/>
      <w:lang w:val="en-US" w:eastAsia="en-US"/>
    </w:rPr>
  </w:style>
  <w:style w:type="character" w:styleId="911">
    <w:name w:val="Основной текст Знак"/>
    <w:next w:val="911"/>
    <w:link w:val="878"/>
    <w:rPr>
      <w:sz w:val="22"/>
    </w:rPr>
  </w:style>
  <w:style w:type="paragraph" w:styleId="912">
    <w:name w:val="Абзац списка"/>
    <w:basedOn w:val="872"/>
    <w:next w:val="912"/>
    <w:link w:val="872"/>
    <w:pPr>
      <w:contextualSpacing/>
      <w:ind w:left="720" w:firstLine="0"/>
    </w:pPr>
    <w:rPr>
      <w:sz w:val="24"/>
      <w:szCs w:val="24"/>
    </w:rPr>
  </w:style>
  <w:style w:type="paragraph" w:styleId="913">
    <w:name w:val="Default"/>
    <w:next w:val="913"/>
    <w:link w:val="872"/>
    <w:rPr>
      <w:color w:val="000000"/>
      <w:sz w:val="24"/>
      <w:szCs w:val="24"/>
      <w:lang w:val="ru-RU" w:bidi="ar-SA" w:eastAsia="ru-RU"/>
    </w:rPr>
  </w:style>
  <w:style w:type="character" w:styleId="914">
    <w:name w:val="Нижний колонтитул Знак"/>
    <w:next w:val="914"/>
    <w:link w:val="880"/>
    <w:rPr>
      <w:sz w:val="26"/>
    </w:rPr>
  </w:style>
  <w:style w:type="character" w:styleId="915">
    <w:name w:val="Заголовок 2 Знак"/>
    <w:next w:val="915"/>
    <w:link w:val="874"/>
    <w:rPr>
      <w:rFonts w:ascii="Cambria" w:hAnsi="Cambria" w:eastAsia="Times New Roman"/>
      <w:b/>
      <w:bCs/>
      <w:i/>
      <w:iCs/>
      <w:sz w:val="28"/>
      <w:szCs w:val="28"/>
    </w:rPr>
  </w:style>
  <w:style w:type="character" w:styleId="916">
    <w:name w:val="Font Style19"/>
    <w:next w:val="916"/>
    <w:link w:val="872"/>
    <w:rPr>
      <w:rFonts w:ascii="Times New Roman" w:hAnsi="Times New Roman"/>
      <w:sz w:val="22"/>
      <w:szCs w:val="22"/>
    </w:rPr>
  </w:style>
  <w:style w:type="character" w:styleId="917">
    <w:name w:val="Основной текст с отступом Знак"/>
    <w:next w:val="917"/>
    <w:link w:val="889"/>
    <w:rPr>
      <w:sz w:val="26"/>
    </w:rPr>
  </w:style>
  <w:style w:type="paragraph" w:styleId="918">
    <w:name w:val="Основной текст с отступом 2"/>
    <w:basedOn w:val="872"/>
    <w:next w:val="918"/>
    <w:link w:val="919"/>
    <w:pPr>
      <w:ind w:left="283"/>
      <w:spacing w:after="120" w:line="480" w:lineRule="auto"/>
    </w:pPr>
    <w:rPr>
      <w:lang w:val="en-US" w:eastAsia="en-US"/>
    </w:rPr>
  </w:style>
  <w:style w:type="character" w:styleId="919">
    <w:name w:val="Основной текст с отступом 2 Знак"/>
    <w:next w:val="919"/>
    <w:link w:val="918"/>
    <w:rPr>
      <w:sz w:val="26"/>
    </w:rPr>
  </w:style>
  <w:style w:type="paragraph" w:styleId="920">
    <w:name w:val="ConsPlusNonformat"/>
    <w:next w:val="920"/>
    <w:link w:val="872"/>
    <w:rPr>
      <w:rFonts w:ascii="Courier New" w:hAnsi="Courier New"/>
      <w:lang w:val="ru-RU" w:bidi="ar-SA" w:eastAsia="ru-RU"/>
    </w:rPr>
  </w:style>
  <w:style w:type="character" w:styleId="921">
    <w:name w:val="apple-converted-space"/>
    <w:next w:val="921"/>
    <w:link w:val="872"/>
  </w:style>
  <w:style w:type="character" w:styleId="922">
    <w:name w:val="Выделение"/>
    <w:next w:val="922"/>
    <w:link w:val="872"/>
    <w:rPr>
      <w:i/>
      <w:iCs/>
    </w:rPr>
  </w:style>
  <w:style w:type="paragraph" w:styleId="923">
    <w:name w:val="Обычный (веб)"/>
    <w:basedOn w:val="872"/>
    <w:next w:val="923"/>
    <w:link w:val="872"/>
    <w:pPr>
      <w:ind w:firstLine="0"/>
      <w:spacing w:before="100" w:beforeAutospacing="1" w:after="100" w:afterAutospacing="1"/>
    </w:pPr>
    <w:rPr>
      <w:sz w:val="24"/>
      <w:szCs w:val="24"/>
    </w:rPr>
  </w:style>
  <w:style w:type="character" w:styleId="924" w:default="1">
    <w:name w:val="Default Paragraph Font"/>
    <w:uiPriority w:val="1"/>
    <w:semiHidden/>
    <w:unhideWhenUsed/>
  </w:style>
  <w:style w:type="numbering" w:styleId="925" w:default="1">
    <w:name w:val="No List"/>
    <w:uiPriority w:val="99"/>
    <w:semiHidden/>
    <w:unhideWhenUsed/>
  </w:style>
  <w:style w:type="table" w:styleId="92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2022-07-11T11:11:02Z</dcterms:modified>
</cp:coreProperties>
</file>