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color="auto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>
        <w:tblPrEx/>
        <w:trPr/>
        <w:tc>
          <w:tcPr>
            <w:tcBorders>
              <w:bottom w:val="none" w:color="000000" w:sz="4" w:space="0"/>
            </w:tcBorders>
            <w:tcW w:w="1701" w:type="dxa"/>
            <w:textDirection w:val="lrTb"/>
            <w:noWrap w:val="false"/>
          </w:tcPr>
          <w:p>
            <w:pPr>
              <w:pStyle w:val="926"/>
              <w:ind w:right="0"/>
              <w:jc w:val="lef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/>
            <w:bookmarkStart w:id="0" w:name="РегДанные"/>
            <w:r>
              <w:rPr>
                <w:rFonts w:ascii="PT Astra Serif" w:hAnsi="PT Astra Serif" w:cs="PT Astra Serif"/>
                <w:sz w:val="28"/>
                <w:szCs w:val="28"/>
              </w:rPr>
              <w:t xml:space="preserve">__.__.____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</w:r>
            <w:bookmarkEnd w:id="0"/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bottom w:val="none" w:color="000000" w:sz="4" w:space="0"/>
            </w:tcBorders>
            <w:tcMar>
              <w:right w:w="85" w:type="dxa"/>
            </w:tcMar>
            <w:tcW w:w="5669" w:type="dxa"/>
            <w:textDirection w:val="lrTb"/>
            <w:noWrap w:val="false"/>
          </w:tcPr>
          <w:p>
            <w:pPr>
              <w:pStyle w:val="926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bottom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926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8"/>
                <w:szCs w:val="28"/>
              </w:rPr>
            </w:r>
            <w:bookmarkStart w:id="1" w:name="РегНомер"/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№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t xml:space="preserve">  -п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end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</w:tr>
    </w:tbl>
    <w:p>
      <w:pPr>
        <w:pStyle w:val="933"/>
        <w:jc w:val="center"/>
        <w:spacing w:before="480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внесении изменения в приказ Департамента государственного заказа Томской области от 20.08.2018 № 16-п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33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33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33"/>
        <w:ind w:firstLine="709"/>
        <w:jc w:val="both"/>
      </w:pPr>
      <w:r>
        <w:rPr>
          <w:rFonts w:ascii="PT Astra Serif" w:hAnsi="PT Astra Serif" w:cs="Times New Roman"/>
          <w:sz w:val="28"/>
          <w:szCs w:val="28"/>
        </w:rPr>
        <w:t xml:space="preserve">В целях совершенствования нормативного правового акта </w:t>
      </w:r>
      <w:r/>
    </w:p>
    <w:p>
      <w:pPr>
        <w:pStyle w:val="933"/>
        <w:ind w:firstLine="709"/>
        <w:jc w:val="both"/>
      </w:pPr>
      <w:r>
        <w:rPr>
          <w:rFonts w:ascii="PT Astra Serif" w:hAnsi="PT Astra Serif" w:cs="Times New Roman"/>
          <w:sz w:val="28"/>
          <w:szCs w:val="28"/>
        </w:rPr>
        <w:t xml:space="preserve">ПРИКАЗЫВАЮ:</w:t>
      </w:r>
      <w:r/>
    </w:p>
    <w:p>
      <w:pPr>
        <w:pStyle w:val="933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1. Внести в приказ Департамента государственного заказа Томской области от 20.08.2018 № 16-п «</w:t>
      </w:r>
      <w:r>
        <w:rPr>
          <w:rFonts w:ascii="PT Astra Serif" w:hAnsi="PT Astra Serif" w:cs="Times New Roman"/>
          <w:sz w:val="28"/>
          <w:szCs w:val="28"/>
        </w:rPr>
        <w:t xml:space="preserve">Об утверждении нормативных затрат на обеспечение функций Департамента государственного заказа Томской области и подведомственного ему областного государственного казенного учреждения «Центр государственных закупок Томской области</w:t>
      </w:r>
      <w:r>
        <w:rPr>
          <w:rFonts w:ascii="PT Astra Serif" w:hAnsi="PT Astra Serif" w:cs="Times New Roman"/>
          <w:sz w:val="28"/>
          <w:szCs w:val="28"/>
        </w:rPr>
        <w:t xml:space="preserve">» (</w:t>
      </w:r>
      <w:r>
        <w:rPr>
          <w:rFonts w:ascii="PT Astra Serif" w:hAnsi="PT Astra Serif" w:cs="Times New Roman"/>
          <w:sz w:val="28"/>
          <w:szCs w:val="28"/>
        </w:rPr>
        <w:t xml:space="preserve">Официальный интернет-портал Администрации Томской области www.tomsk.gov.ru, томскаяобласть.рф, 21.08.2018</w:t>
      </w:r>
      <w:r>
        <w:rPr>
          <w:rFonts w:ascii="PT Astra Serif" w:hAnsi="PT Astra Serif" w:cs="Times New Roman"/>
          <w:sz w:val="28"/>
          <w:szCs w:val="28"/>
        </w:rPr>
        <w:t xml:space="preserve">) следующее изменение:</w:t>
      </w:r>
      <w:r>
        <w:rPr>
          <w:rFonts w:ascii="PT Astra Serif" w:hAnsi="PT Astra Serif" w:cs="Times New Roman"/>
          <w:sz w:val="28"/>
          <w:szCs w:val="28"/>
          <w:highlight w:val="none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33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</w:t>
      </w:r>
      <w:r>
        <w:rPr>
          <w:rFonts w:ascii="PT Astra Serif" w:hAnsi="PT Astra Serif" w:cs="Times New Roman"/>
          <w:sz w:val="28"/>
          <w:szCs w:val="28"/>
        </w:rPr>
        <w:t xml:space="preserve"> Нормативах цены и количества товаров, работ, услуг на обеспечение функций Департамента государственного заказа Томской области и подведомственного ему областного государственного казенного учреждения «Центр государственных закупок Томской области», утверж</w:t>
      </w:r>
      <w:r>
        <w:rPr>
          <w:rFonts w:ascii="PT Astra Serif" w:hAnsi="PT Astra Serif" w:cs="Times New Roman"/>
          <w:sz w:val="28"/>
          <w:szCs w:val="28"/>
        </w:rPr>
        <w:t xml:space="preserve">денных указанным приказом (приложение 2), </w:t>
      </w:r>
      <w:r>
        <w:rPr>
          <w:rFonts w:ascii="PT Astra Serif" w:hAnsi="PT Astra Serif" w:cs="Times New Roman"/>
          <w:sz w:val="28"/>
          <w:szCs w:val="28"/>
        </w:rPr>
        <w:t xml:space="preserve">таблицу 46 изложить в следующей редакции:</w:t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33"/>
        <w:ind w:firstLine="709"/>
        <w:jc w:val="right"/>
        <w:rPr>
          <w:rFonts w:ascii="PT Astra Serif" w:hAnsi="PT Astra Serif" w:cs="Times New Roman"/>
          <w:sz w:val="28"/>
          <w:szCs w:val="28"/>
          <w:highlight w:val="none"/>
        </w:rPr>
      </w:pPr>
      <w:r>
        <w:rPr>
          <w:rFonts w:ascii="PT Astra Serif" w:hAnsi="PT Astra Serif" w:cs="Times New Roman"/>
          <w:sz w:val="28"/>
          <w:szCs w:val="28"/>
          <w:highlight w:val="none"/>
        </w:rPr>
        <w:t xml:space="preserve">«Таблица 46</w:t>
      </w:r>
      <w:r>
        <w:rPr>
          <w:rFonts w:ascii="PT Astra Serif" w:hAnsi="PT Astra Serif" w:cs="Times New Roman"/>
          <w:sz w:val="28"/>
          <w:szCs w:val="28"/>
          <w:highlight w:val="none"/>
        </w:rPr>
      </w:r>
      <w:r>
        <w:rPr>
          <w:rFonts w:ascii="PT Astra Serif" w:hAnsi="PT Astra Serif" w:cs="Times New Roman"/>
          <w:sz w:val="28"/>
          <w:szCs w:val="28"/>
          <w:highlight w:val="none"/>
        </w:rPr>
      </w:r>
    </w:p>
    <w:p>
      <w:pPr>
        <w:pStyle w:val="933"/>
        <w:ind w:firstLine="709"/>
        <w:jc w:val="right"/>
        <w:rPr>
          <w:rFonts w:ascii="PT Astra Serif" w:hAnsi="PT Astra Serif" w:cs="Times New Roman"/>
          <w:sz w:val="28"/>
          <w:szCs w:val="28"/>
          <w:highlight w:val="none"/>
        </w:rPr>
      </w:pPr>
      <w:r>
        <w:rPr>
          <w:rFonts w:ascii="PT Astra Serif" w:hAnsi="PT Astra Serif" w:cs="Times New Roman"/>
          <w:sz w:val="28"/>
          <w:szCs w:val="28"/>
          <w:highlight w:val="none"/>
        </w:rPr>
      </w:r>
      <w:r>
        <w:rPr>
          <w:rFonts w:ascii="PT Astra Serif" w:hAnsi="PT Astra Serif" w:cs="Times New Roman"/>
          <w:sz w:val="28"/>
          <w:szCs w:val="28"/>
          <w:highlight w:val="none"/>
        </w:rPr>
      </w:r>
      <w:r>
        <w:rPr>
          <w:rFonts w:ascii="PT Astra Serif" w:hAnsi="PT Astra Serif" w:cs="Times New Roman"/>
          <w:sz w:val="28"/>
          <w:szCs w:val="28"/>
          <w:highlight w:val="none"/>
        </w:rPr>
      </w:r>
    </w:p>
    <w:p>
      <w:pPr>
        <w:pStyle w:val="933"/>
        <w:ind w:firstLine="709"/>
        <w:jc w:val="center"/>
      </w:pPr>
      <w:r>
        <w:rPr>
          <w:rFonts w:ascii="PT Astra Serif" w:hAnsi="PT Astra Serif" w:cs="Times New Roman"/>
          <w:sz w:val="28"/>
          <w:szCs w:val="28"/>
          <w:highlight w:val="none"/>
        </w:rPr>
        <w:t xml:space="preserve">Нормативы, применяемые при расчете затрат на приобретение</w:t>
      </w:r>
      <w:r/>
    </w:p>
    <w:p>
      <w:pPr>
        <w:pStyle w:val="933"/>
        <w:ind w:firstLine="709"/>
        <w:jc w:val="center"/>
        <w:rPr>
          <w:rFonts w:ascii="PT Astra Serif" w:hAnsi="PT Astra Serif" w:cs="Times New Roman"/>
          <w:sz w:val="28"/>
          <w:szCs w:val="28"/>
          <w:highlight w:val="none"/>
        </w:rPr>
      </w:pPr>
      <w:r>
        <w:rPr>
          <w:rFonts w:ascii="PT Astra Serif" w:hAnsi="PT Astra Serif" w:cs="Times New Roman"/>
          <w:sz w:val="28"/>
          <w:szCs w:val="28"/>
          <w:highlight w:val="none"/>
        </w:rPr>
        <w:t xml:space="preserve">аптечек для оказания первой помощи работникам</w:t>
      </w:r>
      <w:r>
        <w:rPr>
          <w:rFonts w:ascii="PT Astra Serif" w:hAnsi="PT Astra Serif" w:cs="Times New Roman"/>
          <w:sz w:val="28"/>
          <w:szCs w:val="28"/>
          <w:highlight w:val="none"/>
        </w:rPr>
      </w:r>
      <w:r>
        <w:rPr>
          <w:rFonts w:ascii="PT Astra Serif" w:hAnsi="PT Astra Serif" w:cs="Times New Roman"/>
          <w:sz w:val="28"/>
          <w:szCs w:val="28"/>
          <w:highlight w:val="none"/>
        </w:rPr>
      </w:r>
    </w:p>
    <w:p>
      <w:pPr>
        <w:pStyle w:val="933"/>
        <w:ind w:firstLine="709"/>
        <w:jc w:val="center"/>
        <w:rPr>
          <w:rFonts w:ascii="PT Astra Serif" w:hAnsi="PT Astra Serif" w:cs="Times New Roman"/>
          <w:sz w:val="28"/>
          <w:szCs w:val="28"/>
          <w:highlight w:val="none"/>
        </w:rPr>
      </w:pPr>
      <w:r>
        <w:rPr>
          <w:rFonts w:ascii="PT Astra Serif" w:hAnsi="PT Astra Serif" w:cs="Times New Roman"/>
          <w:sz w:val="28"/>
          <w:szCs w:val="28"/>
          <w:highlight w:val="none"/>
        </w:rPr>
      </w:r>
      <w:r>
        <w:rPr>
          <w:rFonts w:ascii="PT Astra Serif" w:hAnsi="PT Astra Serif" w:cs="Times New Roman"/>
          <w:sz w:val="28"/>
          <w:szCs w:val="28"/>
          <w:highlight w:val="none"/>
        </w:rPr>
      </w:r>
      <w:r>
        <w:rPr>
          <w:rFonts w:ascii="PT Astra Serif" w:hAnsi="PT Astra Serif" w:cs="Times New Roman"/>
          <w:sz w:val="28"/>
          <w:szCs w:val="28"/>
          <w:highlight w:val="none"/>
        </w:rPr>
      </w:r>
    </w:p>
    <w:tbl>
      <w:tblPr>
        <w:tblStyle w:val="783"/>
        <w:tblW w:w="0" w:type="auto"/>
        <w:tblLayout w:type="fixed"/>
        <w:tblLook w:val="04A0" w:firstRow="1" w:lastRow="0" w:firstColumn="1" w:lastColumn="0" w:noHBand="0" w:noVBand="1"/>
      </w:tblPr>
      <w:tblGrid>
        <w:gridCol w:w="708"/>
        <w:gridCol w:w="5102"/>
        <w:gridCol w:w="1843"/>
        <w:gridCol w:w="1985"/>
      </w:tblGrid>
      <w:tr>
        <w:tblPrEx/>
        <w:trPr/>
        <w:tc>
          <w:tcPr>
            <w:tcW w:w="708" w:type="dxa"/>
            <w:vAlign w:val="center"/>
            <w:vMerge w:val="restart"/>
            <w:textDirection w:val="lrTb"/>
            <w:noWrap w:val="false"/>
          </w:tcPr>
          <w:p>
            <w:pPr>
              <w:pStyle w:val="933"/>
              <w:jc w:val="center"/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  <w:t xml:space="preserve">№ п/п</w:t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r>
          </w:p>
        </w:tc>
        <w:tc>
          <w:tcPr>
            <w:tcW w:w="5102" w:type="dxa"/>
            <w:vAlign w:val="center"/>
            <w:vMerge w:val="restart"/>
            <w:textDirection w:val="lrTb"/>
            <w:noWrap w:val="false"/>
          </w:tcPr>
          <w:p>
            <w:pPr>
              <w:pStyle w:val="933"/>
              <w:jc w:val="center"/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  <w:t xml:space="preserve">Наименование</w:t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r>
          </w:p>
        </w:tc>
        <w:tc>
          <w:tcPr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pStyle w:val="933"/>
              <w:jc w:val="center"/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  <w:t xml:space="preserve">Количество, ед.</w:t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r>
          </w:p>
        </w:tc>
        <w:tc>
          <w:tcPr>
            <w:tcW w:w="1985" w:type="dxa"/>
            <w:vAlign w:val="center"/>
            <w:vMerge w:val="restart"/>
            <w:textDirection w:val="lrTb"/>
            <w:noWrap w:val="false"/>
          </w:tcPr>
          <w:p>
            <w:pPr>
              <w:pStyle w:val="933"/>
              <w:jc w:val="center"/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  <w:t xml:space="preserve">Цена приобретения за единицу, руб.</w:t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r>
          </w:p>
        </w:tc>
      </w:tr>
      <w:tr>
        <w:tblPrEx/>
        <w:trPr/>
        <w:tc>
          <w:tcPr>
            <w:gridSpan w:val="4"/>
            <w:tcW w:w="9638" w:type="dxa"/>
            <w:vAlign w:val="center"/>
            <w:vMerge w:val="restart"/>
            <w:textDirection w:val="lrTb"/>
            <w:noWrap w:val="false"/>
          </w:tcPr>
          <w:p>
            <w:pPr>
              <w:pStyle w:val="933"/>
              <w:jc w:val="center"/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  <w:t xml:space="preserve">Департамент государственного заказа Томской области</w:t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r>
          </w:p>
        </w:tc>
      </w:tr>
      <w:tr>
        <w:tblPrEx/>
        <w:trPr/>
        <w:tc>
          <w:tcPr>
            <w:tcW w:w="708" w:type="dxa"/>
            <w:vAlign w:val="center"/>
            <w:textDirection w:val="lrTb"/>
            <w:noWrap w:val="false"/>
          </w:tcPr>
          <w:p>
            <w:pPr>
              <w:pStyle w:val="933"/>
              <w:jc w:val="center"/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  <w:t xml:space="preserve">1</w:t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r>
          </w:p>
        </w:tc>
        <w:tc>
          <w:tcPr>
            <w:tcW w:w="5102" w:type="dxa"/>
            <w:vAlign w:val="center"/>
            <w:textDirection w:val="lrTb"/>
            <w:noWrap w:val="false"/>
          </w:tcPr>
          <w:p>
            <w:pPr>
              <w:pStyle w:val="933"/>
              <w:jc w:val="both"/>
            </w:pP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  <w:t xml:space="preserve">Аптечка для оказания первой помощи работникам (комплектация в соответствии с Приказом Министерства здравоохранения Российской Федерации от 24.05.2024 № 262н «О</w:t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  <w:t xml:space="preserve">б утверждении требований </w:t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  <w:t xml:space="preserve">к комплектации аптечки для оказания работниками первой </w:t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  <w:t xml:space="preserve">помощи пострадавшим с применением медицинских изделий»)</w:t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r>
            <w:r/>
          </w:p>
        </w:tc>
        <w:tc>
          <w:tcPr>
            <w:tcW w:w="1843" w:type="dxa"/>
            <w:vAlign w:val="center"/>
            <w:textDirection w:val="lrTb"/>
            <w:noWrap w:val="false"/>
          </w:tcPr>
          <w:p>
            <w:pPr>
              <w:pStyle w:val="933"/>
              <w:jc w:val="center"/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  <w:t xml:space="preserve">не более 1 на Департамент</w:t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r>
          </w:p>
        </w:tc>
        <w:tc>
          <w:tcPr>
            <w:tcW w:w="1985" w:type="dxa"/>
            <w:vAlign w:val="center"/>
            <w:textDirection w:val="lrTb"/>
            <w:noWrap w:val="false"/>
          </w:tcPr>
          <w:p>
            <w:pPr>
              <w:pStyle w:val="933"/>
              <w:jc w:val="center"/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  <w:t xml:space="preserve">не более 2267,00</w:t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r>
          </w:p>
        </w:tc>
      </w:tr>
      <w:tr>
        <w:tblPrEx/>
        <w:trPr/>
        <w:tc>
          <w:tcPr>
            <w:gridSpan w:val="4"/>
            <w:tcW w:w="9638" w:type="dxa"/>
            <w:vAlign w:val="center"/>
            <w:vMerge w:val="restart"/>
            <w:textDirection w:val="lrTb"/>
            <w:noWrap w:val="false"/>
          </w:tcPr>
          <w:p>
            <w:pPr>
              <w:pStyle w:val="933"/>
              <w:jc w:val="center"/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  <w:t xml:space="preserve">областное государственное казенное учреждение «Центр государственных закупок Томской области»</w:t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r>
          </w:p>
        </w:tc>
      </w:tr>
      <w:tr>
        <w:tblPrEx/>
        <w:trPr/>
        <w:tc>
          <w:tcPr>
            <w:tcW w:w="708" w:type="dxa"/>
            <w:vAlign w:val="center"/>
            <w:vMerge w:val="restart"/>
            <w:textDirection w:val="lrTb"/>
            <w:noWrap w:val="false"/>
          </w:tcPr>
          <w:p>
            <w:pPr>
              <w:pStyle w:val="933"/>
              <w:jc w:val="center"/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  <w:t xml:space="preserve">1</w:t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r>
          </w:p>
        </w:tc>
        <w:tc>
          <w:tcPr>
            <w:tcW w:w="5102" w:type="dxa"/>
            <w:vAlign w:val="center"/>
            <w:vMerge w:val="restart"/>
            <w:textDirection w:val="lrTb"/>
            <w:noWrap w:val="false"/>
          </w:tcPr>
          <w:p>
            <w:pPr>
              <w:pStyle w:val="933"/>
              <w:jc w:val="both"/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  <w:t xml:space="preserve">Аптечка для оказания первой помощи работникам (комплектация в соответствии с Приказом Министерства здравоохранения Российской Федерации от 24.05.2024 № 262н «О</w:t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  <w:t xml:space="preserve">б утверждении требований </w:t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  <w:t xml:space="preserve">к комплектации аптечки для оказания работниками первой </w:t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  <w:t xml:space="preserve">помощи пострадавшим с применением медицинских изделий»)</w:t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r>
          </w:p>
        </w:tc>
        <w:tc>
          <w:tcPr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pStyle w:val="933"/>
              <w:jc w:val="center"/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  <w:t xml:space="preserve">не более 1 на Учреждение</w:t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r>
          </w:p>
        </w:tc>
        <w:tc>
          <w:tcPr>
            <w:tcW w:w="1985" w:type="dxa"/>
            <w:vAlign w:val="center"/>
            <w:vMerge w:val="restart"/>
            <w:textDirection w:val="lrTb"/>
            <w:noWrap w:val="false"/>
          </w:tcPr>
          <w:p>
            <w:pPr>
              <w:pStyle w:val="933"/>
              <w:jc w:val="center"/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  <w:t xml:space="preserve">не более 2267,00».</w:t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cs="Times New Roman"/>
                <w:sz w:val="28"/>
                <w:szCs w:val="28"/>
                <w:highlight w:val="none"/>
              </w:rPr>
            </w:r>
          </w:p>
        </w:tc>
      </w:tr>
    </w:tbl>
    <w:p>
      <w:pPr>
        <w:pStyle w:val="933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  <w:highlight w:val="none"/>
        </w:rPr>
        <w:t xml:space="preserve">2. 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Комитету планирования и аналитической работы обеспечить размещение настоящего приказа в единой информационной системе в сфере закупок в течение 7 рабочих дней со дня его принятия.</w:t>
      </w:r>
      <w:r>
        <w:rPr>
          <w:rFonts w:ascii="PT Astra Serif" w:hAnsi="PT Astra Serif" w:cs="Times New Roman"/>
          <w:sz w:val="28"/>
          <w:szCs w:val="28"/>
          <w:highlight w:val="none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33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33"/>
        <w:ind w:firstLine="709"/>
        <w:jc w:val="both"/>
        <w:rPr>
          <w:rFonts w:ascii="PT Astra Serif" w:hAnsi="PT Astra Serif" w:cs="Times New Roman"/>
          <w:sz w:val="28"/>
          <w:szCs w:val="28"/>
          <w:lang w:val="en-US"/>
        </w:rPr>
      </w:pPr>
      <w:r>
        <w:rPr>
          <w:rFonts w:ascii="PT Astra Serif" w:hAnsi="PT Astra Serif" w:cs="Times New Roman"/>
          <w:sz w:val="28"/>
          <w:szCs w:val="28"/>
          <w:lang w:val="en-US"/>
        </w:rPr>
      </w:r>
      <w:r>
        <w:rPr>
          <w:rFonts w:ascii="PT Astra Serif" w:hAnsi="PT Astra Serif" w:cs="Times New Roman"/>
          <w:sz w:val="28"/>
          <w:szCs w:val="28"/>
          <w:lang w:val="en-US"/>
        </w:rPr>
      </w:r>
      <w:r>
        <w:rPr>
          <w:rFonts w:ascii="PT Astra Serif" w:hAnsi="PT Astra Serif" w:cs="Times New Roman"/>
          <w:sz w:val="28"/>
          <w:szCs w:val="28"/>
          <w:lang w:val="en-US"/>
        </w:rPr>
      </w:r>
    </w:p>
    <w:p>
      <w:pPr>
        <w:pStyle w:val="933"/>
        <w:ind w:firstLine="709"/>
        <w:jc w:val="both"/>
        <w:rPr>
          <w:rFonts w:ascii="PT Astra Serif" w:hAnsi="PT Astra Serif" w:cs="Times New Roman"/>
          <w:sz w:val="28"/>
          <w:szCs w:val="28"/>
          <w:lang w:val="en-US"/>
        </w:rPr>
      </w:pPr>
      <w:r>
        <w:rPr>
          <w:rFonts w:ascii="PT Astra Serif" w:hAnsi="PT Astra Serif" w:cs="Times New Roman"/>
          <w:sz w:val="28"/>
          <w:szCs w:val="28"/>
          <w:lang w:val="en-US"/>
        </w:rPr>
      </w:r>
      <w:r>
        <w:rPr>
          <w:rFonts w:ascii="PT Astra Serif" w:hAnsi="PT Astra Serif" w:cs="Times New Roman"/>
          <w:sz w:val="28"/>
          <w:szCs w:val="28"/>
          <w:lang w:val="en-US"/>
        </w:rPr>
      </w:r>
      <w:r>
        <w:rPr>
          <w:rFonts w:ascii="PT Astra Serif" w:hAnsi="PT Astra Serif" w:cs="Times New Roman"/>
          <w:sz w:val="28"/>
          <w:szCs w:val="28"/>
          <w:lang w:val="en-US"/>
        </w:rPr>
      </w:r>
    </w:p>
    <w:tbl>
      <w:tblPr>
        <w:tblW w:w="992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467"/>
        <w:gridCol w:w="3190"/>
        <w:gridCol w:w="3264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467" w:type="dxa"/>
            <w:textDirection w:val="lrTb"/>
            <w:noWrap/>
          </w:tcPr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190" w:type="dxa"/>
            <w:textDirection w:val="lrTb"/>
            <w:noWrap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264" w:type="dxa"/>
            <w:textDirection w:val="lrTb"/>
            <w:noWrap/>
          </w:tcPr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 Г.В. Гонгина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  <w:lang w:val="en-US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  <w:lang w:val="en-US"/>
        </w:rPr>
      </w:r>
      <w:r>
        <w:rPr>
          <w:rFonts w:ascii="PT Astra Serif" w:hAnsi="PT Astra Serif" w:eastAsia="PT Astra Serif" w:cs="PT Astra Serif"/>
          <w:sz w:val="26"/>
          <w:szCs w:val="26"/>
          <w:lang w:val="en-US"/>
        </w:rPr>
      </w:r>
      <w:r>
        <w:rPr>
          <w:rFonts w:ascii="PT Astra Serif" w:hAnsi="PT Astra Serif" w:eastAsia="PT Astra Serif" w:cs="PT Astra Serif"/>
          <w:sz w:val="26"/>
          <w:szCs w:val="26"/>
          <w:lang w:val="en-US"/>
        </w:rPr>
      </w:r>
    </w:p>
    <w:sectPr>
      <w:headerReference w:type="default" r:id="rId8"/>
      <w:headerReference w:type="first" r:id="rId9"/>
      <w:footnotePr/>
      <w:endnotePr/>
      <w:type w:val="continuous"/>
      <w:pgSz w:w="11907" w:h="16840" w:orient="portrait"/>
      <w:pgMar w:top="1134" w:right="851" w:bottom="1134" w:left="1418" w:header="737" w:footer="284" w:gutter="0"/>
      <w:pgNumType w:start="1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9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sz w:val="24"/>
        <w:szCs w:val="24"/>
      </w:rPr>
      <w:t xml:space="preserve">2</w:t>
    </w:r>
    <w:r>
      <w:rPr>
        <w:rFonts w:ascii="PT Astra Serif" w:hAnsi="PT Astra Serif"/>
        <w:sz w:val="24"/>
        <w:szCs w:val="24"/>
      </w:rPr>
      <w:fldChar w:fldCharType="end"/>
    </w:r>
    <w:r>
      <w:rPr>
        <w:rFonts w:ascii="PT Astra Serif" w:hAnsi="PT Astra Serif"/>
        <w:sz w:val="24"/>
        <w:szCs w:val="24"/>
      </w:rPr>
    </w:r>
    <w:r>
      <w:rPr>
        <w:rFonts w:ascii="PT Astra Serif" w:hAnsi="PT Astra Serif"/>
        <w:sz w:val="24"/>
        <w:szCs w:val="24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eastAsia="PT Astra Serif" w:cs="PT Astra Serif"/>
        <w:b/>
        <w:sz w:val="12"/>
        <w:szCs w:val="12"/>
      </w:rPr>
    </w:pPr>
    <w:r>
      <w:rPr>
        <w:rFonts w:ascii="PT Astra Serif" w:hAnsi="PT Astra Serif" w:eastAsia="PT Astra Serif" w:cs="PT Astra Serif"/>
        <w:lang w:eastAsia="ru-RU" w:bidi="ar-S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76275" cy="619125"/>
              <wp:effectExtent l="0" t="0" r="9525" b="9525"/>
              <wp:docPr id="1" name="Рисунок 1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3.25pt;height:48.75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  <w:r>
      <w:rPr>
        <w:rFonts w:ascii="PT Astra Serif" w:hAnsi="PT Astra Serif" w:eastAsia="PT Astra Serif" w:cs="PT Astra Serif"/>
        <w:b/>
        <w:sz w:val="12"/>
        <w:szCs w:val="12"/>
      </w:rPr>
    </w:r>
    <w:r>
      <w:rPr>
        <w:rFonts w:ascii="PT Astra Serif" w:hAnsi="PT Astra Serif" w:eastAsia="PT Astra Serif" w:cs="PT Astra Serif"/>
        <w:b/>
        <w:sz w:val="12"/>
        <w:szCs w:val="12"/>
      </w:rPr>
    </w:r>
  </w:p>
  <w:p>
    <w:pPr>
      <w:pStyle w:val="779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 государственного заказа</w:t>
    </w:r>
    <w:r>
      <w:rPr>
        <w:rFonts w:ascii="PT Astra Serif" w:hAnsi="PT Astra Serif" w:eastAsia="PT Astra Serif" w:cs="PT Astra Serif"/>
        <w:sz w:val="30"/>
        <w:szCs w:val="30"/>
      </w:rPr>
    </w:r>
    <w:r>
      <w:rPr>
        <w:rFonts w:ascii="PT Astra Serif" w:hAnsi="PT Astra Serif" w:eastAsia="PT Astra Serif" w:cs="PT Astra Serif"/>
        <w:sz w:val="30"/>
        <w:szCs w:val="30"/>
      </w:rPr>
    </w:r>
  </w:p>
  <w:p>
    <w:pPr>
      <w:pStyle w:val="779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ТОМСКОЙ ОБЛАСТИ</w:t>
    </w:r>
    <w:r>
      <w:rPr>
        <w:rFonts w:ascii="PT Astra Serif" w:hAnsi="PT Astra Serif" w:eastAsia="PT Astra Serif" w:cs="PT Astra Serif"/>
        <w:sz w:val="30"/>
        <w:szCs w:val="30"/>
      </w:rPr>
    </w:r>
    <w:r>
      <w:rPr>
        <w:rFonts w:ascii="PT Astra Serif" w:hAnsi="PT Astra Serif" w:eastAsia="PT Astra Serif" w:cs="PT Astra Serif"/>
        <w:sz w:val="30"/>
        <w:szCs w:val="30"/>
      </w:rPr>
    </w:r>
  </w:p>
  <w:p>
    <w:pPr>
      <w:pStyle w:val="779"/>
      <w:spacing w:before="240" w:after="0"/>
      <w:rPr>
        <w:rFonts w:ascii="PT Astra Serif" w:hAnsi="PT Astra Serif" w:eastAsia="PT Astra Serif" w:cs="PT Astra Serif"/>
        <w:sz w:val="28"/>
        <w:szCs w:val="28"/>
      </w:rPr>
    </w:pPr>
    <w:r>
      <w:rPr>
        <w:rFonts w:ascii="PT Astra Serif" w:hAnsi="PT Astra Serif" w:eastAsia="PT Astra Serif" w:cs="PT Astra Serif"/>
        <w:sz w:val="28"/>
        <w:szCs w:val="28"/>
      </w:rPr>
      <w:t xml:space="preserve">пРИКАЗ</w:t>
    </w:r>
    <w:r>
      <w:rPr>
        <w:rFonts w:ascii="PT Astra Serif" w:hAnsi="PT Astra Serif" w:eastAsia="PT Astra Serif" w:cs="PT Astra Serif"/>
        <w:sz w:val="28"/>
        <w:szCs w:val="28"/>
      </w:rPr>
    </w:r>
    <w:r>
      <w:rPr>
        <w:rFonts w:ascii="PT Astra Serif" w:hAnsi="PT Astra Serif" w:eastAsia="PT Astra Serif" w:cs="PT Astra Serif"/>
        <w:sz w:val="28"/>
        <w:szCs w:val="28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7">
    <w:name w:val="Heading 1 Char"/>
    <w:basedOn w:val="757"/>
    <w:link w:val="748"/>
    <w:uiPriority w:val="9"/>
    <w:rPr>
      <w:rFonts w:ascii="Arial" w:hAnsi="Arial" w:eastAsia="Arial" w:cs="Arial"/>
      <w:sz w:val="40"/>
      <w:szCs w:val="40"/>
    </w:rPr>
  </w:style>
  <w:style w:type="character" w:styleId="708">
    <w:name w:val="Heading 2 Char"/>
    <w:basedOn w:val="757"/>
    <w:link w:val="749"/>
    <w:uiPriority w:val="9"/>
    <w:rPr>
      <w:rFonts w:ascii="Arial" w:hAnsi="Arial" w:eastAsia="Arial" w:cs="Arial"/>
      <w:sz w:val="34"/>
    </w:rPr>
  </w:style>
  <w:style w:type="character" w:styleId="709">
    <w:name w:val="Heading 3 Char"/>
    <w:basedOn w:val="757"/>
    <w:link w:val="750"/>
    <w:uiPriority w:val="9"/>
    <w:rPr>
      <w:rFonts w:ascii="Arial" w:hAnsi="Arial" w:eastAsia="Arial" w:cs="Arial"/>
      <w:sz w:val="30"/>
      <w:szCs w:val="30"/>
    </w:rPr>
  </w:style>
  <w:style w:type="character" w:styleId="710">
    <w:name w:val="Heading 4 Char"/>
    <w:basedOn w:val="757"/>
    <w:link w:val="751"/>
    <w:uiPriority w:val="9"/>
    <w:rPr>
      <w:rFonts w:ascii="Arial" w:hAnsi="Arial" w:eastAsia="Arial" w:cs="Arial"/>
      <w:b/>
      <w:bCs/>
      <w:sz w:val="26"/>
      <w:szCs w:val="26"/>
    </w:rPr>
  </w:style>
  <w:style w:type="character" w:styleId="711">
    <w:name w:val="Heading 5 Char"/>
    <w:basedOn w:val="757"/>
    <w:link w:val="752"/>
    <w:uiPriority w:val="9"/>
    <w:rPr>
      <w:rFonts w:ascii="Arial" w:hAnsi="Arial" w:eastAsia="Arial" w:cs="Arial"/>
      <w:b/>
      <w:bCs/>
      <w:sz w:val="24"/>
      <w:szCs w:val="24"/>
    </w:rPr>
  </w:style>
  <w:style w:type="character" w:styleId="712">
    <w:name w:val="Heading 6 Char"/>
    <w:basedOn w:val="757"/>
    <w:link w:val="753"/>
    <w:uiPriority w:val="9"/>
    <w:rPr>
      <w:rFonts w:ascii="Arial" w:hAnsi="Arial" w:eastAsia="Arial" w:cs="Arial"/>
      <w:b/>
      <w:bCs/>
      <w:sz w:val="22"/>
      <w:szCs w:val="22"/>
    </w:rPr>
  </w:style>
  <w:style w:type="character" w:styleId="713">
    <w:name w:val="Heading 7 Char"/>
    <w:basedOn w:val="757"/>
    <w:link w:val="7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4">
    <w:name w:val="Heading 8 Char"/>
    <w:basedOn w:val="757"/>
    <w:link w:val="755"/>
    <w:uiPriority w:val="9"/>
    <w:rPr>
      <w:rFonts w:ascii="Arial" w:hAnsi="Arial" w:eastAsia="Arial" w:cs="Arial"/>
      <w:i/>
      <w:iCs/>
      <w:sz w:val="22"/>
      <w:szCs w:val="22"/>
    </w:rPr>
  </w:style>
  <w:style w:type="character" w:styleId="715">
    <w:name w:val="Heading 9 Char"/>
    <w:basedOn w:val="757"/>
    <w:link w:val="756"/>
    <w:uiPriority w:val="9"/>
    <w:rPr>
      <w:rFonts w:ascii="Arial" w:hAnsi="Arial" w:eastAsia="Arial" w:cs="Arial"/>
      <w:i/>
      <w:iCs/>
      <w:sz w:val="21"/>
      <w:szCs w:val="21"/>
    </w:rPr>
  </w:style>
  <w:style w:type="character" w:styleId="716">
    <w:name w:val="Title Char"/>
    <w:basedOn w:val="757"/>
    <w:link w:val="771"/>
    <w:uiPriority w:val="10"/>
    <w:rPr>
      <w:sz w:val="48"/>
      <w:szCs w:val="48"/>
    </w:rPr>
  </w:style>
  <w:style w:type="character" w:styleId="717">
    <w:name w:val="Subtitle Char"/>
    <w:basedOn w:val="757"/>
    <w:link w:val="773"/>
    <w:uiPriority w:val="11"/>
    <w:rPr>
      <w:sz w:val="24"/>
      <w:szCs w:val="24"/>
    </w:rPr>
  </w:style>
  <w:style w:type="character" w:styleId="718">
    <w:name w:val="Quote Char"/>
    <w:link w:val="775"/>
    <w:uiPriority w:val="29"/>
    <w:rPr>
      <w:i/>
    </w:rPr>
  </w:style>
  <w:style w:type="character" w:styleId="719">
    <w:name w:val="Intense Quote Char"/>
    <w:link w:val="777"/>
    <w:uiPriority w:val="30"/>
    <w:rPr>
      <w:i/>
    </w:rPr>
  </w:style>
  <w:style w:type="character" w:styleId="720">
    <w:name w:val="Header Char"/>
    <w:basedOn w:val="757"/>
    <w:link w:val="779"/>
    <w:uiPriority w:val="99"/>
  </w:style>
  <w:style w:type="character" w:styleId="721">
    <w:name w:val="Footer Char"/>
    <w:basedOn w:val="757"/>
    <w:link w:val="781"/>
    <w:uiPriority w:val="99"/>
  </w:style>
  <w:style w:type="character" w:styleId="722">
    <w:name w:val="Caption Char"/>
    <w:basedOn w:val="925"/>
    <w:link w:val="781"/>
    <w:uiPriority w:val="99"/>
  </w:style>
  <w:style w:type="table" w:styleId="723">
    <w:name w:val="Plain Table 1"/>
    <w:basedOn w:val="75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>
    <w:name w:val="Plain Table 2"/>
    <w:basedOn w:val="75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5">
    <w:name w:val="Plain Table 3"/>
    <w:basedOn w:val="75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6">
    <w:name w:val="Plain Table 4"/>
    <w:basedOn w:val="75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Plain Table 5"/>
    <w:basedOn w:val="75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8">
    <w:name w:val="Grid Table 1 Light"/>
    <w:basedOn w:val="7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7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"/>
    <w:basedOn w:val="7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4"/>
    <w:basedOn w:val="75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2">
    <w:name w:val="Grid Table 5 Dark"/>
    <w:basedOn w:val="7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/>
    </w:tblPr>
    <w:tblStylePr w:type="band1Horz">
      <w:tcPr>
        <w:shd w:val="clear" w:color="ffffff" w:themeColor="text1" w:themeTint="75"/>
      </w:tcPr>
    </w:tblStylePr>
    <w:tblStylePr w:type="band1Vert">
      <w:tcPr>
        <w:shd w:val="clear" w:color="ffffff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top w:val="single" w:color="000000" w:themeColor="light1" w:sz="4" w:space="0"/>
        </w:tcBorders>
      </w:tcPr>
    </w:tblStylePr>
  </w:style>
  <w:style w:type="table" w:styleId="733">
    <w:name w:val="Grid Table 6 Colorful"/>
    <w:basedOn w:val="7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/>
      </w:tcPr>
    </w:tblStylePr>
    <w:tblStylePr w:type="band1Vert">
      <w:tcPr>
        <w:shd w:val="clear" w:color="ffffff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4">
    <w:name w:val="Grid Table 7 Colorful"/>
    <w:basedOn w:val="7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"/>
    <w:basedOn w:val="75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2"/>
    <w:basedOn w:val="7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7">
    <w:name w:val="List Table 3"/>
    <w:basedOn w:val="7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List Table 4"/>
    <w:basedOn w:val="7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5 Dark"/>
    <w:basedOn w:val="7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/>
    </w:tblPr>
    <w:tblStylePr w:type="band1Horz">
      <w:tcPr>
        <w:shd w:val="clear" w:color="ffffff" w:themeColor="text1" w:theme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40">
    <w:name w:val="List Table 6 Colorful"/>
    <w:basedOn w:val="7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41">
    <w:name w:val="List Table 7 Colorful"/>
    <w:basedOn w:val="75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42">
    <w:name w:val="Footnote Text Char"/>
    <w:link w:val="910"/>
    <w:uiPriority w:val="99"/>
    <w:rPr>
      <w:sz w:val="18"/>
    </w:rPr>
  </w:style>
  <w:style w:type="paragraph" w:styleId="743">
    <w:name w:val="endnote text"/>
    <w:basedOn w:val="747"/>
    <w:link w:val="744"/>
    <w:uiPriority w:val="99"/>
    <w:semiHidden/>
    <w:unhideWhenUsed/>
    <w:pPr>
      <w:spacing w:after="0" w:line="240" w:lineRule="auto"/>
    </w:pPr>
    <w:rPr>
      <w:sz w:val="20"/>
    </w:rPr>
  </w:style>
  <w:style w:type="character" w:styleId="744">
    <w:name w:val="Endnote Text Char"/>
    <w:link w:val="743"/>
    <w:uiPriority w:val="99"/>
    <w:rPr>
      <w:sz w:val="20"/>
    </w:rPr>
  </w:style>
  <w:style w:type="character" w:styleId="745">
    <w:name w:val="endnote reference"/>
    <w:basedOn w:val="757"/>
    <w:uiPriority w:val="99"/>
    <w:semiHidden/>
    <w:unhideWhenUsed/>
    <w:rPr>
      <w:vertAlign w:val="superscript"/>
    </w:rPr>
  </w:style>
  <w:style w:type="paragraph" w:styleId="746">
    <w:name w:val="table of figures"/>
    <w:basedOn w:val="747"/>
    <w:next w:val="747"/>
    <w:uiPriority w:val="99"/>
    <w:unhideWhenUsed/>
    <w:pPr>
      <w:spacing w:after="0" w:afterAutospacing="0"/>
    </w:pPr>
  </w:style>
  <w:style w:type="paragraph" w:styleId="747" w:default="1">
    <w:name w:val="Normal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48">
    <w:name w:val="Heading 1"/>
    <w:link w:val="760"/>
    <w:uiPriority w:val="9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/>
      <w:sz w:val="40"/>
      <w:szCs w:val="40"/>
    </w:rPr>
  </w:style>
  <w:style w:type="paragraph" w:styleId="749">
    <w:name w:val="Heading 2"/>
    <w:link w:val="761"/>
    <w:uiPriority w:val="9"/>
    <w:unhideWhenUsed/>
    <w:qFormat/>
    <w:pPr>
      <w:keepLines/>
      <w:keepNext/>
      <w:spacing w:before="36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</w:pPr>
    <w:rPr>
      <w:rFonts w:ascii="Arial" w:hAnsi="Arial" w:eastAsia="Arial"/>
      <w:sz w:val="34"/>
    </w:rPr>
  </w:style>
  <w:style w:type="paragraph" w:styleId="750">
    <w:name w:val="Heading 3"/>
    <w:link w:val="762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2"/>
    </w:pPr>
    <w:rPr>
      <w:rFonts w:ascii="Arial" w:hAnsi="Arial" w:eastAsia="Arial"/>
      <w:sz w:val="30"/>
      <w:szCs w:val="30"/>
    </w:rPr>
  </w:style>
  <w:style w:type="paragraph" w:styleId="751">
    <w:name w:val="Heading 4"/>
    <w:link w:val="763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3"/>
    </w:pPr>
    <w:rPr>
      <w:rFonts w:ascii="Arial" w:hAnsi="Arial" w:eastAsia="Arial"/>
      <w:b/>
      <w:bCs/>
      <w:sz w:val="26"/>
      <w:szCs w:val="26"/>
    </w:rPr>
  </w:style>
  <w:style w:type="paragraph" w:styleId="752">
    <w:name w:val="Heading 5"/>
    <w:link w:val="764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rFonts w:ascii="Arial" w:hAnsi="Arial" w:eastAsia="Arial"/>
      <w:b/>
      <w:bCs/>
      <w:sz w:val="24"/>
      <w:szCs w:val="24"/>
    </w:rPr>
  </w:style>
  <w:style w:type="paragraph" w:styleId="753">
    <w:name w:val="Heading 6"/>
    <w:link w:val="765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5"/>
    </w:pPr>
    <w:rPr>
      <w:rFonts w:ascii="Arial" w:hAnsi="Arial" w:eastAsia="Arial"/>
      <w:b/>
      <w:bCs/>
      <w:sz w:val="22"/>
      <w:szCs w:val="22"/>
    </w:rPr>
  </w:style>
  <w:style w:type="paragraph" w:styleId="754">
    <w:name w:val="Heading 7"/>
    <w:link w:val="766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755">
    <w:name w:val="Heading 8"/>
    <w:link w:val="767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7"/>
    </w:pPr>
    <w:rPr>
      <w:rFonts w:ascii="Arial" w:hAnsi="Arial" w:eastAsia="Arial"/>
      <w:i/>
      <w:iCs/>
      <w:sz w:val="22"/>
      <w:szCs w:val="22"/>
    </w:rPr>
  </w:style>
  <w:style w:type="paragraph" w:styleId="756">
    <w:name w:val="Heading 9"/>
    <w:link w:val="768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8"/>
    </w:pPr>
    <w:rPr>
      <w:rFonts w:ascii="Arial" w:hAnsi="Arial" w:eastAsia="Arial"/>
      <w:i/>
      <w:iCs/>
      <w:sz w:val="21"/>
      <w:szCs w:val="21"/>
    </w:rPr>
  </w:style>
  <w:style w:type="character" w:styleId="757" w:default="1">
    <w:name w:val="Default Paragraph Font"/>
    <w:uiPriority w:val="1"/>
    <w:semiHidden/>
    <w:unhideWhenUsed/>
  </w:style>
  <w:style w:type="table" w:styleId="75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59" w:default="1">
    <w:name w:val="No List"/>
    <w:uiPriority w:val="99"/>
    <w:semiHidden/>
    <w:unhideWhenUsed/>
  </w:style>
  <w:style w:type="character" w:styleId="760" w:customStyle="1">
    <w:name w:val="Заголовок 1 Знак"/>
    <w:link w:val="748"/>
    <w:uiPriority w:val="9"/>
    <w:rPr>
      <w:rFonts w:ascii="Arial" w:hAnsi="Arial" w:eastAsia="Arial"/>
      <w:sz w:val="40"/>
      <w:szCs w:val="40"/>
      <w:lang w:bidi="ar-SA"/>
    </w:rPr>
  </w:style>
  <w:style w:type="character" w:styleId="761" w:customStyle="1">
    <w:name w:val="Заголовок 2 Знак"/>
    <w:link w:val="749"/>
    <w:uiPriority w:val="9"/>
    <w:rPr>
      <w:rFonts w:ascii="Arial" w:hAnsi="Arial" w:eastAsia="Arial"/>
      <w:sz w:val="34"/>
      <w:lang w:bidi="ar-SA"/>
    </w:rPr>
  </w:style>
  <w:style w:type="character" w:styleId="762" w:customStyle="1">
    <w:name w:val="Заголовок 3 Знак"/>
    <w:link w:val="750"/>
    <w:uiPriority w:val="9"/>
    <w:rPr>
      <w:rFonts w:ascii="Arial" w:hAnsi="Arial" w:eastAsia="Arial"/>
      <w:sz w:val="30"/>
      <w:szCs w:val="30"/>
      <w:lang w:bidi="ar-SA"/>
    </w:rPr>
  </w:style>
  <w:style w:type="character" w:styleId="763" w:customStyle="1">
    <w:name w:val="Заголовок 4 Знак"/>
    <w:link w:val="751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764" w:customStyle="1">
    <w:name w:val="Заголовок 5 Знак"/>
    <w:link w:val="752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765" w:customStyle="1">
    <w:name w:val="Заголовок 6 Знак"/>
    <w:link w:val="753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66" w:customStyle="1">
    <w:name w:val="Заголовок 7 Знак"/>
    <w:link w:val="754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767" w:customStyle="1">
    <w:name w:val="Заголовок 8 Знак"/>
    <w:link w:val="755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768" w:customStyle="1">
    <w:name w:val="Заголовок 9 Знак"/>
    <w:link w:val="756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769">
    <w:name w:val="List Paragraph"/>
    <w:uiPriority w:val="34"/>
    <w:qFormat/>
    <w:pPr>
      <w:contextualSpacing/>
      <w:ind w:lef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70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71">
    <w:name w:val="Title"/>
    <w:link w:val="772"/>
    <w:uiPriority w:val="10"/>
    <w:qFormat/>
    <w:pPr>
      <w:contextualSpacing/>
      <w:spacing w:before="3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48"/>
      <w:szCs w:val="48"/>
    </w:rPr>
  </w:style>
  <w:style w:type="character" w:styleId="772" w:customStyle="1">
    <w:name w:val="Название Знак"/>
    <w:link w:val="771"/>
    <w:uiPriority w:val="10"/>
    <w:rPr>
      <w:sz w:val="48"/>
      <w:szCs w:val="48"/>
      <w:lang w:bidi="ar-SA"/>
    </w:rPr>
  </w:style>
  <w:style w:type="paragraph" w:styleId="773">
    <w:name w:val="Subtitle"/>
    <w:link w:val="774"/>
    <w:uiPriority w:val="11"/>
    <w:qFormat/>
    <w:pPr>
      <w:spacing w:before="2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szCs w:val="24"/>
    </w:rPr>
  </w:style>
  <w:style w:type="character" w:styleId="774" w:customStyle="1">
    <w:name w:val="Подзаголовок Знак"/>
    <w:link w:val="773"/>
    <w:uiPriority w:val="11"/>
    <w:rPr>
      <w:sz w:val="24"/>
      <w:szCs w:val="24"/>
      <w:lang w:bidi="ar-SA"/>
    </w:rPr>
  </w:style>
  <w:style w:type="paragraph" w:styleId="775">
    <w:name w:val="Quote"/>
    <w:link w:val="776"/>
    <w:uiPriority w:val="29"/>
    <w:qFormat/>
    <w:pPr>
      <w:ind w:left="720" w:righ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i/>
    </w:rPr>
  </w:style>
  <w:style w:type="character" w:styleId="776" w:customStyle="1">
    <w:name w:val="Цитата 2 Знак"/>
    <w:link w:val="775"/>
    <w:uiPriority w:val="29"/>
    <w:rPr>
      <w:i/>
      <w:lang w:val="ru-RU" w:eastAsia="ru-RU" w:bidi="ar-SA"/>
    </w:rPr>
  </w:style>
  <w:style w:type="paragraph" w:styleId="777">
    <w:name w:val="Intense Quote"/>
    <w:link w:val="77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</w:pPr>
    <w:rPr>
      <w:i/>
    </w:rPr>
  </w:style>
  <w:style w:type="character" w:styleId="778" w:customStyle="1">
    <w:name w:val="Выделенная цитата Знак"/>
    <w:link w:val="777"/>
    <w:uiPriority w:val="30"/>
    <w:rPr>
      <w:i/>
      <w:shd w:val="clear" w:color="auto" w:fill="f2f2f2"/>
      <w:lang w:val="ru-RU" w:eastAsia="ru-RU" w:bidi="ar-SA"/>
    </w:rPr>
  </w:style>
  <w:style w:type="paragraph" w:styleId="779">
    <w:name w:val="Header"/>
    <w:basedOn w:val="747"/>
    <w:link w:val="780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780" w:customStyle="1">
    <w:name w:val="Верхний колонтитул Знак"/>
    <w:link w:val="779"/>
    <w:uiPriority w:val="99"/>
  </w:style>
  <w:style w:type="paragraph" w:styleId="781">
    <w:name w:val="Footer"/>
    <w:basedOn w:val="747"/>
    <w:link w:val="782"/>
    <w:uiPriority w:val="99"/>
    <w:pPr>
      <w:tabs>
        <w:tab w:val="center" w:pos="4153" w:leader="none"/>
        <w:tab w:val="right" w:pos="8306" w:leader="none"/>
      </w:tabs>
    </w:pPr>
  </w:style>
  <w:style w:type="character" w:styleId="782" w:customStyle="1">
    <w:name w:val="Нижний колонтитул Знак"/>
    <w:link w:val="781"/>
    <w:uiPriority w:val="99"/>
  </w:style>
  <w:style w:type="table" w:styleId="783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4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5" w:customStyle="1">
    <w:name w:val="Таблица простая 1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6" w:customStyle="1">
    <w:name w:val="Таблица простая 2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7" w:customStyle="1">
    <w:name w:val="Таблица простая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Таблица простая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Таблица простая 5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Таблица-сетк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Таблица-сетк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Таблица-сетк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Таблица-сетка 4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Таблица-сетк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Таблица-сетк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Таблица-сетк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Список-таблиц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Список-таблиц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Список-таблиц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Список-таблица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7" w:customStyle="1">
    <w:name w:val="Список-таблиц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68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69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70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71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72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73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74" w:customStyle="1">
    <w:name w:val="Список-таблиц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5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6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7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8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9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0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1" w:customStyle="1">
    <w:name w:val="Список-таблиц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2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3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4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5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6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7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8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9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0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1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2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3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4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5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6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7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8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9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0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1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2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3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4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5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6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7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8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909">
    <w:name w:val="Hyperlink"/>
    <w:uiPriority w:val="99"/>
    <w:unhideWhenUsed/>
    <w:rPr>
      <w:color w:val="0000ff"/>
      <w:u w:val="single"/>
    </w:rPr>
  </w:style>
  <w:style w:type="paragraph" w:styleId="910">
    <w:name w:val="footnote text"/>
    <w:link w:val="911"/>
    <w:uiPriority w:val="99"/>
    <w:semiHidden/>
    <w:unhideWhenUsed/>
    <w:pPr>
      <w:spacing w:after="4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18"/>
    </w:rPr>
  </w:style>
  <w:style w:type="character" w:styleId="911" w:customStyle="1">
    <w:name w:val="Текст сноски Знак"/>
    <w:link w:val="910"/>
    <w:uiPriority w:val="99"/>
    <w:semiHidden/>
    <w:rPr>
      <w:sz w:val="18"/>
      <w:lang w:bidi="ar-SA"/>
    </w:rPr>
  </w:style>
  <w:style w:type="character" w:styleId="912">
    <w:name w:val="footnote reference"/>
    <w:uiPriority w:val="99"/>
    <w:unhideWhenUsed/>
    <w:rPr>
      <w:vertAlign w:val="superscript"/>
    </w:rPr>
  </w:style>
  <w:style w:type="paragraph" w:styleId="913">
    <w:name w:val="toc 1"/>
    <w:uiPriority w:val="39"/>
    <w:unhideWhenUsed/>
    <w:pPr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4">
    <w:name w:val="toc 2"/>
    <w:uiPriority w:val="39"/>
    <w:unhideWhenUsed/>
    <w:pPr>
      <w:ind w:left="283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5">
    <w:name w:val="toc 3"/>
    <w:uiPriority w:val="39"/>
    <w:unhideWhenUsed/>
    <w:pPr>
      <w:ind w:left="56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6">
    <w:name w:val="toc 4"/>
    <w:uiPriority w:val="39"/>
    <w:unhideWhenUsed/>
    <w:pPr>
      <w:ind w:left="850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7">
    <w:name w:val="toc 5"/>
    <w:uiPriority w:val="39"/>
    <w:unhideWhenUsed/>
    <w:pPr>
      <w:ind w:left="113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8">
    <w:name w:val="toc 6"/>
    <w:uiPriority w:val="39"/>
    <w:unhideWhenUsed/>
    <w:pPr>
      <w:ind w:left="141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9">
    <w:name w:val="toc 7"/>
    <w:uiPriority w:val="39"/>
    <w:unhideWhenUsed/>
    <w:pPr>
      <w:ind w:left="1701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20">
    <w:name w:val="toc 8"/>
    <w:uiPriority w:val="39"/>
    <w:unhideWhenUsed/>
    <w:pPr>
      <w:ind w:left="198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21">
    <w:name w:val="toc 9"/>
    <w:uiPriority w:val="39"/>
    <w:unhideWhenUsed/>
    <w:pPr>
      <w:ind w:left="2268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22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23">
    <w:name w:val="Body Text"/>
    <w:basedOn w:val="747"/>
    <w:next w:val="747"/>
    <w:pPr>
      <w:jc w:val="both"/>
    </w:pPr>
    <w:rPr>
      <w:sz w:val="22"/>
    </w:rPr>
  </w:style>
  <w:style w:type="character" w:styleId="924">
    <w:name w:val="page number"/>
    <w:basedOn w:val="757"/>
  </w:style>
  <w:style w:type="paragraph" w:styleId="925">
    <w:name w:val="Caption"/>
    <w:basedOn w:val="747"/>
    <w:next w:val="747"/>
    <w:link w:val="722"/>
    <w:pPr>
      <w:jc w:val="center"/>
    </w:pPr>
    <w:rPr>
      <w:b/>
      <w:sz w:val="28"/>
    </w:rPr>
  </w:style>
  <w:style w:type="paragraph" w:styleId="926">
    <w:name w:val="Body Text 2"/>
    <w:basedOn w:val="747"/>
    <w:pPr>
      <w:ind w:right="5102"/>
      <w:jc w:val="center"/>
      <w:spacing w:before="120"/>
    </w:pPr>
  </w:style>
  <w:style w:type="paragraph" w:styleId="927" w:customStyle="1">
    <w:name w:val="Обращение"/>
    <w:basedOn w:val="747"/>
    <w:next w:val="747"/>
    <w:pPr>
      <w:jc w:val="center"/>
      <w:spacing w:before="240" w:after="120"/>
    </w:pPr>
    <w:rPr>
      <w:b/>
    </w:rPr>
  </w:style>
  <w:style w:type="paragraph" w:styleId="928" w:customStyle="1">
    <w:name w:val="Адресные реквизиты"/>
    <w:basedOn w:val="923"/>
    <w:next w:val="923"/>
    <w:pPr>
      <w:jc w:val="left"/>
    </w:pPr>
    <w:rPr>
      <w:sz w:val="16"/>
    </w:rPr>
  </w:style>
  <w:style w:type="paragraph" w:styleId="929" w:customStyle="1">
    <w:name w:val="Адресат"/>
    <w:basedOn w:val="747"/>
    <w:pPr>
      <w:spacing w:before="120"/>
    </w:pPr>
    <w:rPr>
      <w:b/>
    </w:rPr>
  </w:style>
  <w:style w:type="paragraph" w:styleId="930">
    <w:name w:val="Body Text 3"/>
    <w:basedOn w:val="747"/>
    <w:pPr>
      <w:spacing w:before="120"/>
      <w:tabs>
        <w:tab w:val="left" w:pos="7371" w:leader="none"/>
      </w:tabs>
    </w:pPr>
    <w:rPr>
      <w:sz w:val="28"/>
    </w:rPr>
  </w:style>
  <w:style w:type="paragraph" w:styleId="931">
    <w:name w:val="Balloon Text"/>
    <w:basedOn w:val="747"/>
    <w:link w:val="932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styleId="932" w:customStyle="1">
    <w:name w:val="Текст выноски Знак"/>
    <w:link w:val="931"/>
    <w:uiPriority w:val="99"/>
    <w:semiHidden/>
    <w:rPr>
      <w:rFonts w:ascii="Tahoma" w:hAnsi="Tahoma" w:cs="Tahoma"/>
      <w:sz w:val="16"/>
      <w:szCs w:val="16"/>
    </w:rPr>
  </w:style>
  <w:style w:type="paragraph" w:styleId="933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934">
    <w:name w:val="Body Text Indent"/>
    <w:basedOn w:val="747"/>
    <w:link w:val="935"/>
    <w:uiPriority w:val="99"/>
    <w:semiHidden/>
    <w:unhideWhenUsed/>
    <w:pPr>
      <w:ind w:left="283"/>
      <w:spacing w:after="120"/>
    </w:pPr>
  </w:style>
  <w:style w:type="character" w:styleId="935" w:customStyle="1">
    <w:name w:val="Основной текст с отступом Знак"/>
    <w:link w:val="934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vorogushina@cgz.tomsk.ru</cp:lastModifiedBy>
  <cp:revision>8</cp:revision>
  <dcterms:created xsi:type="dcterms:W3CDTF">2023-07-12T03:10:00Z</dcterms:created>
  <dcterms:modified xsi:type="dcterms:W3CDTF">2026-08-24T08:23:24Z</dcterms:modified>
</cp:coreProperties>
</file>