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1"/>
        <w:contextualSpacing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_______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______</w:t>
      </w:r>
      <w:r>
        <w:rPr>
          <w:rFonts w:ascii="PT Astra Serif" w:hAnsi="PT Astra Serif" w:cs="PT Astra Serif"/>
          <w:sz w:val="28"/>
          <w:szCs w:val="28"/>
          <w:highlight w:val="none"/>
        </w:rPr>
        <w:tab/>
      </w:r>
      <w:r>
        <w:rPr>
          <w:rFonts w:ascii="PT Astra Serif" w:hAnsi="PT Astra Serif" w:cs="PT Astra Serif"/>
          <w:sz w:val="28"/>
          <w:szCs w:val="28"/>
          <w:highlight w:val="none"/>
        </w:rPr>
        <w:tab/>
      </w:r>
      <w:r>
        <w:rPr>
          <w:rFonts w:ascii="PT Astra Serif" w:hAnsi="PT Astra Serif" w:cs="PT Astra Serif"/>
          <w:sz w:val="28"/>
          <w:szCs w:val="28"/>
          <w:highlight w:val="none"/>
        </w:rPr>
        <w:tab/>
      </w:r>
      <w:r>
        <w:rPr>
          <w:rFonts w:ascii="PT Astra Serif" w:hAnsi="PT Astra Serif" w:cs="PT Astra Serif"/>
          <w:sz w:val="28"/>
          <w:szCs w:val="28"/>
          <w:highlight w:val="none"/>
        </w:rPr>
        <w:tab/>
      </w:r>
      <w:r>
        <w:rPr>
          <w:rFonts w:ascii="PT Astra Serif" w:hAnsi="PT Astra Serif" w:cs="PT Astra Serif"/>
          <w:sz w:val="28"/>
          <w:szCs w:val="28"/>
          <w:highlight w:val="none"/>
        </w:rPr>
        <w:tab/>
      </w:r>
      <w:r>
        <w:rPr>
          <w:rFonts w:ascii="PT Astra Serif" w:hAnsi="PT Astra Serif" w:cs="PT Astra Serif"/>
          <w:sz w:val="28"/>
          <w:szCs w:val="28"/>
          <w:highlight w:val="none"/>
        </w:rPr>
        <w:tab/>
      </w:r>
      <w:r>
        <w:rPr>
          <w:rFonts w:ascii="PT Astra Serif" w:hAnsi="PT Astra Serif" w:cs="PT Astra Serif"/>
          <w:sz w:val="28"/>
          <w:szCs w:val="28"/>
          <w:highlight w:val="none"/>
        </w:rPr>
        <w:tab/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              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     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№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_______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</w:t>
      </w:r>
      <w:r>
        <w:rPr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contextualSpacing/>
        <w:ind w:firstLine="709"/>
        <w:jc w:val="center"/>
        <w:rPr>
          <w:rFonts w:ascii="PT Astra Serif" w:hAnsi="PT Astra Serif" w:cs="PT Astra Serif"/>
          <w:sz w:val="48"/>
          <w:szCs w:val="48"/>
          <w:highlight w:val="none"/>
        </w:rPr>
      </w:pPr>
      <w:r>
        <w:rPr>
          <w:rFonts w:ascii="PT Astra Serif" w:hAnsi="PT Astra Serif" w:cs="PT Astra Serif"/>
          <w:sz w:val="48"/>
          <w:szCs w:val="48"/>
          <w:highlight w:val="none"/>
        </w:rPr>
      </w:r>
      <w:r>
        <w:rPr>
          <w:rFonts w:ascii="PT Astra Serif" w:hAnsi="PT Astra Serif" w:cs="PT Astra Serif"/>
          <w:sz w:val="48"/>
          <w:szCs w:val="48"/>
          <w:highlight w:val="none"/>
        </w:rPr>
      </w:r>
      <w:r>
        <w:rPr>
          <w:highlight w:val="none"/>
        </w:rPr>
      </w:r>
    </w:p>
    <w:p>
      <w:pPr>
        <w:pStyle w:val="911"/>
        <w:contextualSpacing/>
        <w:ind w:left="0" w:right="0" w:firstLine="0"/>
        <w:jc w:val="center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О внесении изменения в приказ Департамента спорта </w:t>
        <w:br/>
        <w:t xml:space="preserve">Томской области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от 19.12.2024 № 64</w:t>
      </w:r>
      <w:r>
        <w:rPr>
          <w:highlight w:val="none"/>
        </w:rPr>
      </w:r>
    </w:p>
    <w:p>
      <w:pPr>
        <w:pStyle w:val="911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В целях приведения в соответствие нормативного правового акта</w:t>
      </w:r>
      <w:r>
        <w:rPr>
          <w:highlight w:val="none"/>
        </w:rPr>
      </w:r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ПРИКАЗЫВАЮ:</w:t>
      </w:r>
      <w:r>
        <w:rPr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Внести в приказ Департамента спорта Томской области от 19.12.2024 </w:t>
        <w:br/>
        <w:t xml:space="preserve">№ 64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«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б утверждении Административного регламента предоставления государственной услуги «Предоставление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а, в виде ежемесячной выплаты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(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фициальный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(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www.pravo.gov.ru)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, 21.12.2024,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№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7001202412210002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)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следующее изменение: </w:t>
      </w:r>
      <w:r>
        <w:rPr>
          <w:highlight w:val="none"/>
        </w:rPr>
      </w:r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Административный регламент предоставления государственной услуги «Предоставление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а, в виде ежемесячной выплаты»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, утвержденный указанным приказом изложить в новой редакции согласно приложению к настоящему приказу. 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tabs>
          <w:tab w:val="left" w:pos="992" w:leader="none"/>
        </w:tabs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</w:t>
      </w:r>
      <w:r>
        <w:rPr>
          <w:highlight w:val="none"/>
        </w:rPr>
      </w:r>
    </w:p>
    <w:p>
      <w:pPr>
        <w:pStyle w:val="911"/>
        <w:ind w:firstLine="0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highlight w:val="none"/>
        </w:rPr>
      </w: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Начальник Департамента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shd w:val="clear" w:color="ffffff" w:fill="ffffff"/>
            <w:tcW w:w="244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М.В. Максимов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rPr>
          <w:rFonts w:ascii="PT Astra Serif" w:hAnsi="PT Astra Serif" w:eastAsia="PT Astra Serif" w:cs="PT Astra Serif"/>
          <w:sz w:val="28"/>
          <w:szCs w:val="28"/>
          <w:highlight w:val="none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8"/>
          <w:highlight w:val="none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8"/>
          <w:highlight w:val="none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8"/>
          <w:highlight w:val="none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8"/>
          <w:highlight w:val="none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8"/>
          <w:highlight w:val="none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2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8"/>
          <w:highlight w:val="none"/>
        </w:rPr>
      </w:r>
      <w:r>
        <w:rPr>
          <w:rFonts w:ascii="PT Astra Serif" w:hAnsi="PT Astra Serif" w:eastAsia="PT Astra Serif" w:cs="PT Astra Serif"/>
          <w:sz w:val="22"/>
          <w:szCs w:val="28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2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2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2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2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2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2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2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2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2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2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highlight w:val="none"/>
        </w:rPr>
      </w:r>
    </w:p>
    <w:p>
      <w:pPr>
        <w:ind w:left="5669" w:right="0" w:firstLine="0"/>
        <w:jc w:val="both"/>
        <w:widowControl w:val="off"/>
        <w:rPr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Приложение 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ind w:left="5669" w:right="0" w:firstLine="0"/>
        <w:jc w:val="both"/>
        <w:widowControl w:val="off"/>
        <w:rPr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к приказу Департамента спорта Томской области 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ind w:left="5669" w:right="0" w:firstLine="0"/>
        <w:jc w:val="both"/>
        <w:widowControl w:val="o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от ____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________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__ № __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_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______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50"/>
        <w:ind w:left="0" w:right="0" w:firstLine="0"/>
        <w:jc w:val="left"/>
        <w:spacing w:before="0" w:beforeAutospacing="0"/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  <w:outlineLvl w:val="1"/>
        <w:suppressLineNumbers w:val="0"/>
      </w:pP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50"/>
        <w:ind w:left="0" w:right="0" w:firstLine="0"/>
        <w:jc w:val="center"/>
        <w:spacing w:before="0" w:beforeAutospacing="0"/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  <w:outlineLvl w:val="1"/>
        <w:suppressLineNumbers w:val="0"/>
      </w:pP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  <w:lang w:val="ru-RU"/>
        </w:rPr>
        <w:t xml:space="preserve">А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  <w:t xml:space="preserve">дминистративный регламент 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50"/>
        <w:ind w:left="0" w:right="0" w:firstLine="0"/>
        <w:jc w:val="center"/>
        <w:spacing w:before="0" w:beforeAutospacing="0"/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  <w:outlineLvl w:val="1"/>
        <w:suppressLineNumbers w:val="0"/>
      </w:pP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  <w:t xml:space="preserve">предоставления государственной услуги 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50"/>
        <w:ind w:left="0" w:right="0" w:firstLine="0"/>
        <w:jc w:val="center"/>
        <w:spacing w:before="0" w:beforeAutospacing="0"/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  <w:outlineLvl w:val="1"/>
        <w:suppressLineNumbers w:val="0"/>
      </w:pP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  <w:t xml:space="preserve">«Предоставление дополнительного материального обеспечения лицам, имеющим выдающиеся достижения и особые заслуги, перед Российской Федерацией в сфере физической культуры и спорта, </w:t>
        <w:br/>
        <w:t xml:space="preserve">в виде ежеме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  <w:t xml:space="preserve">сячной выплаты»</w:t>
      </w:r>
      <w:r>
        <w:rPr>
          <w:highlight w:val="none"/>
        </w:rPr>
      </w:r>
    </w:p>
    <w:p>
      <w:pPr>
        <w:pStyle w:val="950"/>
        <w:ind w:left="0" w:right="0" w:firstLine="0"/>
        <w:jc w:val="center"/>
        <w:spacing w:before="0" w:beforeAutospacing="0"/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  <w:outlineLvl w:val="1"/>
        <w:suppressLineNumbers w:val="0"/>
      </w:pP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50"/>
        <w:ind w:left="0" w:right="0" w:firstLine="0"/>
        <w:jc w:val="center"/>
        <w:spacing w:before="0" w:beforeAutospacing="0"/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  <w:outlineLvl w:val="1"/>
        <w:suppressLineNumbers w:val="0"/>
      </w:pP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  <w:t xml:space="preserve">1. Общие положения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50"/>
        <w:ind w:firstLine="709"/>
        <w:jc w:val="center"/>
        <w:spacing w:before="0" w:beforeAutospacing="0"/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  <w:outlineLvl w:val="1"/>
        <w:suppressLineNumbers w:val="0"/>
      </w:pP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1. Административный р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егламент предоставления государственной услуги «Предоставление дополнительного материального обеспечения лицам, имеющим выдающиеся достижения и особые заслуги, перед Российской Федерацией в сфере физической культуры и спорта, в виде ежемесячной выплаты»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(далее - Регламент) </w:t>
      </w:r>
      <w:r>
        <w:rPr>
          <w:rFonts w:ascii="PT Astra Serif" w:hAnsi="PT Astra Serif" w:cs="PT Astra Serif"/>
          <w:color w:val="000000"/>
          <w:sz w:val="28"/>
          <w:szCs w:val="28"/>
          <w:highlight w:val="none"/>
        </w:rPr>
        <w:t xml:space="preserve">разработан в целях повышения качества предоставления государственной услуги, создания комфортных условий для ее получателей </w:t>
      </w:r>
      <w:r>
        <w:rPr>
          <w:rFonts w:ascii="PT Astra Serif" w:hAnsi="PT Astra Serif" w:cs="PT Astra Serif"/>
          <w:color w:val="000000"/>
          <w:sz w:val="28"/>
          <w:szCs w:val="28"/>
          <w:highlight w:val="none"/>
        </w:rPr>
        <w:t xml:space="preserve">и устанавливает сроки дейс</w:t>
      </w:r>
      <w:r>
        <w:rPr>
          <w:rFonts w:ascii="PT Astra Serif" w:hAnsi="PT Astra Serif" w:cs="PT Astra Serif"/>
          <w:color w:val="000000"/>
          <w:sz w:val="28"/>
          <w:szCs w:val="28"/>
          <w:highlight w:val="none"/>
        </w:rPr>
        <w:t xml:space="preserve">твий, осуществляемых  Департаментом спорта Томской области</w:t>
      </w:r>
      <w:r>
        <w:rPr>
          <w:rFonts w:ascii="PT Astra Serif" w:hAnsi="PT Astra Serif" w:cs="PT Astra Serif"/>
          <w:color w:val="000000"/>
          <w:sz w:val="28"/>
          <w:szCs w:val="28"/>
          <w:highlight w:val="none"/>
        </w:rPr>
        <w:t xml:space="preserve"> (далее - Департамент) при предоставлении указанной  государственной услуги, а также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устанавливает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стандарт её предоста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вления.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2. Регламент разработан Департаментом на основании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Федерального закона от 27 июля 2010 года № 210-ФЗ «Об организации предоставления государственных и муниципальных услуг», Федерального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закона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от 4 декабря 2007 года № 329-ФЗ «О физической культуре и спорте в Российской Федерации»,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Закона Томской области от 7 июня 2010 года </w:t>
        <w:br/>
        <w:t xml:space="preserve">№ 94-ОЗ «О физической культуре и спорте в Томской области»,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постановления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Администрации Томской области от 06.04.2011 № 95а «О размере и порядке установления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спорта»,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Положения о Департаменте спорта Томской области, утвержденного постановлением Губернатора Томской области от 27.02.2024 </w:t>
        <w:br/>
        <w:t xml:space="preserve">№ 1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3 «Об утверждении Положения о Департаменте спорта Томской области»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</w:r>
      <w:bookmarkStart w:id="0" w:name="undefined"/>
      <w:r>
        <w:rPr>
          <w:rFonts w:ascii="PT Astra Serif" w:hAnsi="PT Astra Serif" w:cs="PT Astra Serif"/>
          <w:sz w:val="28"/>
          <w:szCs w:val="28"/>
          <w:highlight w:val="none"/>
        </w:rPr>
      </w:r>
      <w:bookmarkEnd w:id="0"/>
      <w:r>
        <w:rPr>
          <w:rFonts w:ascii="PT Astra Serif" w:hAnsi="PT Astra Serif" w:cs="PT Astra Serif"/>
          <w:sz w:val="28"/>
          <w:szCs w:val="28"/>
          <w:highlight w:val="none"/>
        </w:rPr>
        <w:t xml:space="preserve">3.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Заявителями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н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а получение государственной услуги являются граждане Российской Федерации, до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с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тигшие пенсионного возраста либо возраста </w:t>
        <w:br/>
        <w:t xml:space="preserve">60 и 55 лет (соответственно мужчины и женщины), постоянно проживающие</w:t>
        <w:br/>
        <w:t xml:space="preserve">на территории Томской области, имеющие выдающиеся достижения и особые заслуги перед Российской Федерацией в сфере физической культуры и спорта: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1) награжденные орденами и медалями Российской Федерации и (или) орденами и медалями СССР;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2) имеющие почетные звания «Заслуженный работник физической культуры Российской Федерации», «Заслуженный работник физической культуры РСФСР»;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3) имеющие звание «Заслуженный тренер России» или звание «Заслуженный тренер РСФСР» либо звание «Заслуженный тренер СССР»;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4) имеющие звание «Заслуженный мастер спорта России» или звание «Заслуженный мастер спорта СССР».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4.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Порядок информирования о предоставлении государственной услуги:</w:t>
      </w:r>
      <w:r>
        <w:rPr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1) по месту нахождения Департамента: 634029, г. Томск, ул. Герцена, </w:t>
        <w:br/>
        <w:t xml:space="preserve">д. 8: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понедельник с 09:00 до 18:00 час.;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вторник - четверг с 08:45 до 18:00 час.;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пятница с 08:45 до 17:00 час.;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перерыв для отдыха и питания с 12:30 до 13:30 час.;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выходные дни: суббота и воскресенье;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2) на сайте Департамента по адресу в информационно-телекоммуникацион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ной сети «Интернет» (далее - сайт Департамента): http://sport.tomsk.gov.ru, в федеральной государственной информационной системе «Единый портал государственных и муниципальных услуг (функций)» (далее - Портал) по адресу в сети «Интернет»: www.gosuslugi.ru;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3) по адресу электронной почты Департамента: dep-sport@tomsk.gov.ru.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5. На Портале, сайте Департамента размещается следующая информация </w:t>
        <w:br/>
        <w:t xml:space="preserve">о предоставлении государственной услуги: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1) исчерпывающий перечень документов, необходимых </w:t>
        <w:br/>
        <w:t xml:space="preserve">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2) круг заявителей;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3) срок предоставления государственной услуги;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5) исчерпывающий перечень оснований для приостановления или отказа </w:t>
        <w:br/>
        <w:t xml:space="preserve">в предоставлении государственной услуги;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6) формы заявлений (уведомлений, сообщений), используемые </w:t>
        <w:br/>
        <w:t xml:space="preserve">при предоставлении государственной услуги.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Информация на Портале, сайте Департаме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</w:t>
        <w:br/>
        <w:t xml:space="preserve">в том числе без использования программного обеспечения, установка к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Также информацию по вопросам предоставления государственной услуги можно получить: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посредством личного обращения в часы приема;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по телефону специалиста комитета организационно-правового обеспечения Департамента, ответственного за предоставление государственной услуги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(далее – специалист, ответственный за предоставление государственной услуги)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: (3822) 52-72-26;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при обращении в многофункциональный центр (далее - МФЦ) </w:t>
      </w:r>
      <w:r>
        <w:rPr>
          <w:rFonts w:ascii="PT Astra Serif" w:hAnsi="PT Astra Serif" w:cs="PT Astra Serif"/>
          <w:sz w:val="28"/>
          <w:szCs w:val="28"/>
          <w:highlight w:val="none"/>
        </w:rPr>
        <w:br/>
        <w:t xml:space="preserve">(в случае заключения соглашения о взаимодействии. Информация о наличии соглашения о взаимодействии между Департаментом и МФЦ размещается </w:t>
        <w:br/>
        <w:t xml:space="preserve">на сайте Департамента).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6. Консультации о предоставлении государственной услуги предоставляются по следующим вопросам: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1) перечень документов, необходимых для предоставления государственной услуги, комплектности (достаточности) представленных документов;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2) источник получения документов, необходимых для предоставления государственной услуги (орган, организация и их местонахождение);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3) время приема и выдачи документов;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4) сроки подачи документов, необходимых для предоставления государственной услуги;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5) срок предоставления государственной услуги.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50"/>
        <w:ind w:left="0" w:right="0" w:firstLine="0"/>
        <w:jc w:val="center"/>
        <w:spacing w:before="0" w:beforeAutospacing="0"/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  <w:outlineLvl w:val="1"/>
        <w:suppressLineNumbers w:val="0"/>
      </w:pP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  <w:t xml:space="preserve">2. Стандарт предоставления государственной услуги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7. Наименование государ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ственной услуги: «Предоставление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спорта, в виде ежемесячной выплаты» (далее - государственная услуга).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8. Наименование органа, предоставляющего государственную услугу: Департамент спорта Томской области.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9.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Результатом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предоставления государственно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й услуги является: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предоставление выплаты дополнительного материального обеспечения лицом, имеющи: выдающиеся достижения и особые заслуги перед Российской Федерацией в сфере физической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 культуры и спорта, перечисленной </w:t>
        <w:br/>
        <w:t xml:space="preserve">на счет в кредитном учреждении, указанный в </w:t>
      </w:r>
      <w:hyperlink w:tooltip="Заявление" w:anchor="P181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highlight w:val="none"/>
          </w:rPr>
          <w:t xml:space="preserve">заявлении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 по форме согласно приложению к настоящему Регламенту;</w:t>
      </w:r>
      <w:r>
        <w:rPr>
          <w:highlight w:val="none"/>
        </w:rPr>
      </w:r>
      <w:r>
        <w:rPr>
          <w:highlight w:val="none"/>
        </w:rPr>
      </w:r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направление заявителю решения Департамента об отказе в установлении дополнительного материального обеспечения. </w:t>
      </w:r>
      <w:r>
        <w:rPr>
          <w:highlight w:val="none"/>
        </w:rPr>
      </w:r>
      <w:r>
        <w:rPr>
          <w:highlight w:val="none"/>
        </w:rPr>
      </w:r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Решение Департамента об отказе в установлении дополнительного материального обеспечения по выбору заявителя либо исходя </w:t>
        <w:br/>
        <w:t xml:space="preserve">из способа обращения за предоставлением государственной услуги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может быть: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1) выдан (вручен) заявителю в форме бумажного документа посредством почтовой связи или выдан (вручен) заявителю (представителю заявителя) </w:t>
        <w:br/>
        <w:t xml:space="preserve">в Департаменте, в случае подачи заявления через МФЦ - в МФЦ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(при условии заключения между Департаментом и МФЦ соглашения о взаимодействии);</w:t>
      </w:r>
      <w:r>
        <w:rPr>
          <w:highlight w:val="none"/>
        </w:rPr>
      </w:r>
      <w:r>
        <w:rPr>
          <w:highlight w:val="none"/>
        </w:rPr>
      </w:r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2) направлен в форме электронного документа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на адрес электронной почты, указанный заявителем, в форме текстового сообщения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.</w:t>
      </w:r>
      <w:r>
        <w:rPr>
          <w:highlight w:val="none"/>
        </w:rPr>
      </w:r>
      <w:r>
        <w:rPr>
          <w:highlight w:val="none"/>
        </w:rPr>
      </w:r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Формирование реестровой записи в качестве результата предоставления государственной услуги не предусмотрено.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10. Общий срок предоставления государственной услуги не превышает </w:t>
        <w:br/>
        <w:t xml:space="preserve">30 рабочих дней со дня п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редоставления заявителем документов, предусмотренных пунктом 11 Регламента. 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</w:r>
      <w:bookmarkStart w:id="0" w:name="undefined"/>
      <w:r>
        <w:rPr>
          <w:rFonts w:ascii="PT Astra Serif" w:hAnsi="PT Astra Serif" w:cs="PT Astra Serif"/>
          <w:sz w:val="28"/>
          <w:szCs w:val="28"/>
          <w:highlight w:val="none"/>
        </w:rPr>
      </w:r>
      <w:bookmarkEnd w:id="0"/>
      <w:r>
        <w:rPr>
          <w:rFonts w:ascii="PT Astra Serif" w:hAnsi="PT Astra Serif" w:cs="PT Astra Serif"/>
          <w:sz w:val="28"/>
          <w:szCs w:val="28"/>
          <w:highlight w:val="none"/>
        </w:rPr>
        <w:t xml:space="preserve">11. Исчерпывающий перечень документов, необходимых в соответствии </w:t>
        <w:br/>
        <w:t xml:space="preserve">с законодательными или иными нормативными правовыми актами </w:t>
        <w:br/>
        <w:t xml:space="preserve">для предоставления государственной услуги с раздел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ен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ием на документы </w:t>
        <w:br/>
        <w:t xml:space="preserve">и информацию, которые заявитель должен представить самостоятельно, </w:t>
        <w:br/>
        <w:t xml:space="preserve">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1) </w:t>
      </w:r>
      <w:hyperlink w:tooltip="Заявление" w:anchor="P181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highlight w:val="none"/>
          </w:rPr>
          <w:t xml:space="preserve">заявление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 по фор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ме согласно приложению к настоящему Регламенту;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2) в соответствии с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подпунктом 1) пункта 1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Порядка установления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 граждан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ам Российской Федерации, достигшим пенсионного возраста либо возраста 60 и 55 лет (соответственно мужчины и женщины), постоянно проживающим на территории Томской области, имеющим выдающиеся достижения и особые заслуги перед Российской Федерацией в сфере фи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з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ической культуры и спорта, утвержденного постановлением Администрации Томской области от 06.04.2011 № 95а (далее - Порядок), копия документа, подтверждающего награждение орденами и медалями Российской Федерации </w:t>
        <w:br/>
        <w:t xml:space="preserve">и (или) орденами и медалями СССР за заслуги: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орденские книжки, удостоверения к медали или Указа Президиума Верховного Совета СССР, Указа Президиума Верховного Совета РСФСР, Указа Президента Российской Федерации, распоряжения Президента Российской Федерации соответственно;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3) в соответствии с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подпунктом 2) пункта 1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Порядка копия документа, подтверждающего присвоение заявителю почетного звания «Заслуженный работник физической культуры РСФСР» и (или) «Заслуженный работник физической культуры Российской Федерации»: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удостоверения к государственной награде «Заслуженный работник физической культуры РСФСР», удост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оверения к государственной награде «Заслуженный работник физической культуры Российской Федерации», грамоты «Заслуженный работник физической культуры РСФСР» или Указа Президиума Верховного Совета РСФСР, Указа Президента Российской Федерации соответственно;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4) в соответствии с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подпунктом 3) пункта 1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Порядка копия документа, подтверждающего присвоение заявителю звания «Заслуженный тренер России» или звания «Заслуженный тренер РСФСР» либо звания «Заслуженный тренер СССР»: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удостоверения к почетным спортивным званиям «Заслуженный тренер России» или «Заслуженный тренер РСФСР» либо «Заслуженный тренер СССР» или приказа комитета по физической культуре и спорту при Совете Министров ССС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Р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, приказа Союзно-республиканского комитета по физической культуре </w:t>
        <w:br/>
        <w:t xml:space="preserve">и спорту при Совете Министров СССР, приказа Союзно-республиканского Государственного комитета СССР по физической культуре и спорту, приказа Государственного комитета по физической культуре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и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туризму, приказа Министерства Российской Федерации по физической культуре, спорту </w:t>
        <w:br/>
        <w:t xml:space="preserve">и туризму, приказа Государственного комитета Российской Федерации </w:t>
        <w:br/>
        <w:t xml:space="preserve">по физической культуре и спорту, приказа Государственного комитета Российской Федерации по физической куль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туре, спорту и туризму, приказа Федерального агентства по физической культуре, спорту и туризму, приказа Федерального агентства по физической культуре и спорту, приказа Министерства спорта, туризма и молодежной политики Российской Федерации соответственно;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5) в соответствии с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подпунктом 4) пункта 1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Порядка копия документа, подтверждающего присвоение заявителю звания «Заслуженный мастер спорта России» или звания «Заслуженный мастер спорта СССР»: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удостоверения к нагрудному знаку «Заслуженный мастер спорта России» или «Заслуженный мастер спорта СССР» или приказа комитета по физической культуре и спорту при Совете Министров ССС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Р, приказа Союзно-республиканского комитета по физической культуре и спорту при Совете Министров СССР, приказа Союзно-республиканского Государственного комитета СССР по физической культуре и спорту, приказа Государственного комитета по физической культуре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и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туризму, приказа Министерства Российской Федерации по физической культуре, спорту и туризму, приказа Государственного комитета Российской Федерации по физической культуре </w:t>
        <w:br/>
        <w:t xml:space="preserve">и спорту, приказа Государственного комитета Российской Федерации </w:t>
        <w:br/>
        <w:t xml:space="preserve">по физической куль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тур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е, спорту и туризму, приказа Федерального агентства </w:t>
        <w:br/>
        <w:t xml:space="preserve">по физической культуре, спорту и туризму, приказа Федерального агентства </w:t>
        <w:br/>
        <w:t xml:space="preserve">по физической культуре и спорту, приказа Министерства спорта, туризма </w:t>
        <w:br/>
        <w:t xml:space="preserve">и молодежной политики Российской Федерации соответственно;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6) при личном обращении заявителя (представителя заявителя) </w:t>
        <w:br/>
        <w:t xml:space="preserve">в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Департамент необходимо предъявить документ, удостоверяющий личность.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12. Доку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менты, которые заявитель вправе представить по собственной инициативе: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копия и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ндивидуального номера налогоплательщика;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копия страхового пенсионного свидетельства, копию документа, подтверждающего нахождение места жительства гражданина на территории Томской области.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Департамент в течение двух рабочих дней в рамках межведомственного информационного взаимодействия запрашивает в государственных органах, органах местного самоуправления и подведо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мственных государственным органам или органам местного самоуправления организациях сведения, содержащиеся в документах, которые заявитель вправе предоставить по своему усмотрению, если заявитель не предоставил указанные документы по собственной инициативе.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13. Перечень оснований для отказа в приеме документов, необходимых </w:t>
        <w:br/>
        <w:t xml:space="preserve">для предоставления государственной услуги: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1) 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предоставление документов, необходимых в соответствии </w:t>
        <w:br/>
        <w:t xml:space="preserve">с нормативными правовыми актами для предоставлен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ия государственной услуги, подлежащих предоставлению заявителем, указанных в </w:t>
      </w:r>
      <w:hyperlink w:tooltip="11. Исчерпывающий перечень документов, необходимых в соответствии с нормативными правовыми актами для предоставления государственной услуги, подлежащих предоставлению заявителем:" w:anchor="P91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highlight w:val="none"/>
          </w:rPr>
          <w:t xml:space="preserve">пункте 11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 Рег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ламента не в полном объеме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;</w:t>
      </w:r>
      <w:r>
        <w:rPr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2) наличие в предоставленных документах исправлений, повреждений, зачеркнутых слов, несоответствий в написании фамилии, имени, отчества (последнее - при наличии). Исправление, повреждение, наличие зачер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к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нутых слов, несоответствие в написании фамилии, имени, отчества (последнее - при наличии) проверяется специалистом, ответственным за предоставление государственной услуги, путем сверки копий представленных документов с оригиналами документов.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14. Основания для приостановления предоставления государственной услуги отсутствуют.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15. Перечень оснований для отказа в предоставлении государственной услуги: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1) обращение за дополнительным материальным обеспечением </w:t>
        <w:br/>
        <w:t xml:space="preserve">лица, не обладающего правом на получ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ение указанного дополнительного материального обеспечения в соответствии с </w:t>
      </w:r>
      <w:hyperlink w:tooltip="3. Заявителями на получение государственной услуги являются граждане Российской Федерации, достигшие пенсионного возраста либо возраста 60 и 55 лет (соответственно мужчины и женщины), постоянно проживающие на территории Томской области, имеющие выдающиеся достижения и особые заслуги перед Российской Федерацией в сфере физической культуры и спорта:" w:anchor="P53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highlight w:val="none"/>
          </w:rPr>
          <w:t xml:space="preserve">пунктом 3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  Регламента;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2) наличие в документах, представленных заявителем, недостоверных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, необоснованных сведений. В случае наличия информации о недостоверности, необоснованности сведений, содержащихся в представленных документах, Департамент осуществляет проверку достов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ерности, обоснованности сведений, содержащихся в представленных документа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х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, путем анализа официальной общедоступной информации о деятельности государственных органов, судов, размещаемой в информационно-телекоммуникационной сети «Интернет», </w:t>
        <w:br/>
        <w:t xml:space="preserve">а также направления запросов в уполномоченные органы или организации, выдавшие документы.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16. Предоставление государственной услуги осуществляется бесплатно.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17. Максимальный срок ожидани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я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в очереди при подаче запроса </w:t>
        <w:br/>
        <w:t xml:space="preserve">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 или МФЦ: не более 15 минут.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18. Срок регистрации запроса о предоставлении государственной услуги: </w:t>
        <w:br/>
        <w:t xml:space="preserve">в течение одного рабочего дня, следующего за днем поступления запроса.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19. Требования к помещениям, в которых предоставляется государственная услуга, к залу ожидания, местам для заполнения запросов </w:t>
        <w:br/>
        <w:t xml:space="preserve">о предоставлении государственной услуги, информационным стендам </w:t>
        <w:br/>
        <w:t xml:space="preserve">с обр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аз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цами их заполнения и перечнем документов, необходимых </w:t>
        <w:br/>
        <w:t xml:space="preserve">для предоставления государственной услуги, в том числе к обеспечению доступности для инвалидов указанных объектов в соответствии </w:t>
        <w:br/>
        <w:t xml:space="preserve">с законодательством Российской Федерации о социальной защите инвалидов: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1) здание Департамента оборудовано отдельным входом для свободного доступа в помещение;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2) вход в здание оборудован информационной табличкой (вывеской) </w:t>
        <w:br/>
        <w:t xml:space="preserve">с указанием наименования Департамента;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3) вход в здание Департамента оборудован кнопкой вызова помощи </w:t>
        <w:br/>
        <w:t xml:space="preserve">для оповещения сотрудников Департамента о необходимости оказания помощи инвалидам при доступе в здание;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4) у входа в каждое из помещений Департамента размещается табличка </w:t>
        <w:br/>
        <w:t xml:space="preserve">с фамилией, именем, отчеством (последнее – при наличии) и наименованием должности каждого специалиста;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5) помещения Департамента соответствуют санитарно-эпидемиологическим правилам и нормативам «Санитарно-эпидемиологические требования к условиям труда» СП 2.2.3670-20;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6) присутственные места оборудованы: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системой кондиционирования воздуха;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противопожарной системой и средствами пожаротушения;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системой охраны;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7) места ожидания в очереди на предоставление или получение документов оборудованы скамьями. Количество мест ожидания определяется исходя из фактической нагрузки и возможностей для их размещения в здании, </w:t>
        <w:br/>
        <w:t xml:space="preserve">но не может составлять менее 3 мест;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8) прием заявителей осуществляется в специально оборудованных помещениях (кабинетах), где располагается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специалист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,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ответственный </w:t>
        <w:br/>
        <w:t xml:space="preserve">за предоставление государственной услуги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9) места для заполнения документов оборудованы стульями, столами </w:t>
        <w:br/>
        <w:t xml:space="preserve">и обеспечиваются образцами заполнения документов, бланками заявлений </w:t>
        <w:br/>
        <w:t xml:space="preserve">и канцелярскими принадлежностями;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10) места информирования, предназначенные для ознакомления заявителей с информационными материалами, оборудованы информационными стендами;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11) на информационных стендах в Департаменте, а также сайте Департамента в сети «Интернет» размещается следующая информация: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1) текст Регламента с приложениями на сайте Департамента и извлечения (</w:t>
      </w:r>
      <w:hyperlink w:tooltip="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" w:anchor="P92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highlight w:val="none"/>
          </w:rPr>
          <w:t xml:space="preserve">пункт 11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 Регламента) на информационных стендах;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2) обр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азец заполнения формы заявления и перечень документов, необходимых для предоставления государственной услуги;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3) место расположения, график (режим) работы, номера телефонов и адрес электронной почты Департамента;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4) местонахождение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специалиста, ответственного за предоставление государственной услуги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, и режим приема им заявителей;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5) основания отказа в предоставлении государственной услуги;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6) порядок информирования о ходе предоставления государственной услуги;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7) порядок получения консультаций;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8) обеспечение возможности беспрепятственного доступа инвалидов осуществляется в соответствии с требованиями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статьи 15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Федерального закона от 24 ноября 1995 года № 181-ФЗ «О социальной защите инвалидов </w:t>
        <w:br/>
        <w:t xml:space="preserve">в Российской Федерации».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В связи с отсутствием технической возм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ожности обустройства здания Департамента для обеспечения беспрепятственного доступа в здание инвалидов, использующих кресла-коляски, государственная услуга предоставляется указанной категории граждан в альтернативной форме - дистанционно либо через Портал.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20. Показатели доступности и качества государственной услуги: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1) достоверность, полнота и актуальность информирования о порядке предоставления государственной услуги;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2) наглядность форм размещаемой информации о порядке предоставления государственной услуги;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3) соблюдение сроков, установленных настоящим Регламентом.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21. Иные требования, в том числе учитывающие особенности предоставления государственных услуг в многофункциональных центрах </w:t>
        <w:br/>
        <w:t xml:space="preserve">и особенности предоставления государственных услуг в электронной форме: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1) подача заявления о предоставлении государственной услуги в МФЦ осуществляется только после заключения соглашения о взаимодействии между Департаментом и МФЦ;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2) заявитель имеет возможность получения государственной услуги </w:t>
        <w:br/>
        <w:t xml:space="preserve">в электронной форме с использованием Портала, в части: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а) получения информации о порядке предоставления государственной услуги;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б) ознакомления с формой представления и документов, необходимых </w:t>
        <w:br/>
        <w:t xml:space="preserve">для получения государственной услуги, обеспечения доступа к ним для копирования и заполнения в электронном виде.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ind w:firstLine="708"/>
        <w:jc w:val="both"/>
        <w:spacing w:line="240" w:lineRule="auto"/>
        <w:rPr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23. Услуги, которые являются необходимыми и обязательными </w:t>
        <w:br/>
        <w:t xml:space="preserve">для предоставления государственной услуги, отсутствуют.</w:t>
      </w:r>
      <w:r>
        <w:rPr>
          <w:highlight w:val="none"/>
        </w:rPr>
      </w:r>
      <w:r>
        <w:rPr>
          <w:highlight w:val="none"/>
        </w:rPr>
      </w:r>
    </w:p>
    <w:p>
      <w:pPr>
        <w:ind w:firstLine="708"/>
        <w:jc w:val="both"/>
        <w:spacing w:line="240" w:lineRule="auto"/>
        <w:rPr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24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. Перечень информационных систем, используемых для предоставления государственной услуги:</w:t>
      </w:r>
      <w:r>
        <w:rPr>
          <w:highlight w:val="none"/>
        </w:rPr>
      </w:r>
      <w:r>
        <w:rPr>
          <w:highlight w:val="none"/>
        </w:rPr>
      </w:r>
    </w:p>
    <w:p>
      <w:pPr>
        <w:ind w:firstLine="708"/>
        <w:jc w:val="both"/>
        <w:spacing w:line="240" w:lineRule="auto"/>
        <w:rPr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государственная информационная система «Модуль межведомственного электронного взаимодействия Томской области»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.</w:t>
      </w:r>
      <w:r>
        <w:rPr>
          <w:highlight w:val="none"/>
        </w:rPr>
      </w:r>
      <w:r>
        <w:rPr>
          <w:highlight w:val="none"/>
        </w:rPr>
      </w:r>
    </w:p>
    <w:p>
      <w:pPr>
        <w:ind w:firstLine="709"/>
        <w:jc w:val="both"/>
        <w:spacing w:line="240" w:lineRule="auto"/>
        <w:tabs>
          <w:tab w:val="left" w:pos="7088" w:leader="none"/>
        </w:tabs>
        <w:rPr>
          <w:highlight w:val="none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000000"/>
          <w:sz w:val="28"/>
          <w:szCs w:val="28"/>
          <w:highlight w:val="none"/>
        </w:rPr>
      </w:r>
      <w:r>
        <w:rPr>
          <w:highlight w:val="none"/>
        </w:rPr>
      </w:r>
    </w:p>
    <w:p>
      <w:pPr>
        <w:jc w:val="center"/>
        <w:spacing w:line="240" w:lineRule="auto"/>
        <w:rPr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3. Способы информирования заявителя об изменении статуса</w:t>
      </w:r>
      <w:r>
        <w:rPr>
          <w:sz w:val="28"/>
          <w:szCs w:val="28"/>
          <w:highlight w:val="none"/>
        </w:rPr>
      </w:r>
      <w:r>
        <w:rPr>
          <w:highlight w:val="none"/>
        </w:rPr>
      </w:r>
    </w:p>
    <w:p>
      <w:pPr>
        <w:jc w:val="center"/>
        <w:spacing w:line="240" w:lineRule="auto"/>
        <w:rPr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рассмотрения запроса о предоставлении государственной услуги</w:t>
      </w:r>
      <w:r>
        <w:rPr>
          <w:sz w:val="28"/>
          <w:szCs w:val="28"/>
          <w:highlight w:val="none"/>
        </w:rPr>
      </w:r>
      <w:r>
        <w:rPr>
          <w:highlight w:val="none"/>
        </w:rPr>
      </w:r>
    </w:p>
    <w:p>
      <w:pPr>
        <w:jc w:val="both"/>
        <w:spacing w:line="240" w:lineRule="auto"/>
        <w:rPr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 </w:t>
      </w:r>
      <w:r>
        <w:rPr>
          <w:sz w:val="28"/>
          <w:szCs w:val="28"/>
          <w:highlight w:val="none"/>
        </w:rPr>
      </w:r>
      <w:r>
        <w:rPr>
          <w:highlight w:val="none"/>
        </w:rPr>
      </w:r>
    </w:p>
    <w:p>
      <w:pPr>
        <w:ind w:firstLine="708"/>
        <w:jc w:val="both"/>
        <w:spacing w:line="240" w:lineRule="auto"/>
        <w:rPr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25. Способы информирования заявителя об изменении статуса рассмотрения запроса о предоставлении государственной услуги:</w:t>
      </w:r>
      <w:r>
        <w:rPr>
          <w:rFonts w:ascii="PT Astra Serif" w:hAnsi="PT Astra Serif" w:cs="PT Astra Serif"/>
          <w:sz w:val="28"/>
          <w:szCs w:val="28"/>
          <w:highlight w:val="none"/>
          <w14:ligatures w14:val="none"/>
        </w:rPr>
      </w:r>
      <w:r>
        <w:rPr>
          <w:highlight w:val="none"/>
        </w:rPr>
      </w:r>
    </w:p>
    <w:p>
      <w:pPr>
        <w:ind w:firstLine="708"/>
        <w:jc w:val="both"/>
        <w:spacing w:line="240" w:lineRule="auto"/>
        <w:rPr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1) направление уведомления на адрес электронной почты, указанный заявителем, в форме текстового сообщения;</w:t>
      </w:r>
      <w:r>
        <w:rPr>
          <w:rFonts w:ascii="PT Astra Serif" w:hAnsi="PT Astra Serif" w:cs="PT Astra Serif"/>
          <w:sz w:val="28"/>
          <w:szCs w:val="28"/>
          <w:highlight w:val="none"/>
          <w14:ligatures w14:val="none"/>
        </w:rPr>
      </w:r>
      <w:r>
        <w:rPr>
          <w:highlight w:val="none"/>
        </w:rPr>
      </w:r>
    </w:p>
    <w:p>
      <w:pPr>
        <w:pStyle w:val="911"/>
        <w:ind w:firstLine="709"/>
        <w:jc w:val="both"/>
        <w:spacing w:before="0" w:beforeAutospacing="0" w:line="240" w:lineRule="auto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2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) получение информации непосредственно в Департаменте.</w:t>
      </w:r>
      <w:r>
        <w:rPr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pStyle w:val="911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911"/>
        <w:ind w:left="5102" w:right="0" w:firstLine="0"/>
        <w:jc w:val="left"/>
        <w:rPr>
          <w:rFonts w:ascii="PT Astra Serif" w:hAnsi="PT Astra Serif" w:cs="PT Astra Serif"/>
          <w:highlight w:val="none"/>
        </w:rPr>
        <w:outlineLvl w:val="1"/>
      </w:pPr>
      <w:r>
        <w:rPr>
          <w:rFonts w:ascii="PT Astra Serif" w:hAnsi="PT Astra Serif" w:cs="PT Astra Serif"/>
          <w:sz w:val="24"/>
          <w:highlight w:val="none"/>
        </w:rPr>
        <w:t xml:space="preserve">Приложение</w:t>
      </w:r>
      <w:r>
        <w:rPr>
          <w:rFonts w:ascii="PT Astra Serif" w:hAnsi="PT Astra Serif" w:cs="PT Astra Serif"/>
          <w:highlight w:val="none"/>
        </w:rPr>
      </w:r>
      <w:r>
        <w:rPr>
          <w:highlight w:val="none"/>
        </w:rPr>
      </w:r>
    </w:p>
    <w:p>
      <w:pPr>
        <w:pStyle w:val="911"/>
        <w:ind w:left="5102" w:right="0" w:firstLine="0"/>
        <w:jc w:val="left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  <w:sz w:val="24"/>
          <w:highlight w:val="none"/>
        </w:rPr>
        <w:t xml:space="preserve">к Административному регламенту</w:t>
      </w:r>
      <w:r>
        <w:rPr>
          <w:rFonts w:ascii="PT Astra Serif" w:hAnsi="PT Astra Serif" w:cs="PT Astra Serif"/>
          <w:highlight w:val="none"/>
        </w:rPr>
      </w:r>
      <w:r>
        <w:rPr>
          <w:highlight w:val="none"/>
        </w:rPr>
      </w:r>
    </w:p>
    <w:p>
      <w:pPr>
        <w:pStyle w:val="911"/>
        <w:jc w:val="both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  <w:sz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highlight w:val="none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211"/>
        <w:gridCol w:w="340"/>
        <w:gridCol w:w="1958"/>
        <w:gridCol w:w="1140"/>
        <w:gridCol w:w="4192"/>
      </w:tblGrid>
      <w:tr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09" w:type="dxa"/>
            <w:textDirection w:val="lrTb"/>
            <w:noWrap w:val="false"/>
          </w:tcPr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32" w:type="dxa"/>
            <w:textDirection w:val="lrTb"/>
            <w:noWrap w:val="false"/>
          </w:tcPr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В Департамент спорта Томской области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____________________________________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(фамилия, имя, отчество (последнее - при наличии))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___________________________________,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адрес места жительства: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____________________________________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адрес регистрации: 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____________________________________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паспорт (иной документ, удостоверяющий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личность):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серия _________ № 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выдан ______________________________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(дата выдачи, наименование органа)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____________________________________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код подразделения 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индивидуальный номер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налогоплательщика (ИНН)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____________________________________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номер телефона _____________________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(при наличии)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841" w:type="dxa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highlight w:val="none"/>
              </w:rPr>
            </w:r>
            <w:bookmarkStart w:id="0" w:name="undefined"/>
            <w:r>
              <w:rPr>
                <w:rFonts w:ascii="PT Astra Serif" w:hAnsi="PT Astra Serif" w:cs="PT Astra Serif"/>
                <w:highlight w:val="none"/>
              </w:rPr>
            </w:r>
            <w:bookmarkEnd w:id="0"/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Заявление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841" w:type="dxa"/>
            <w:textDirection w:val="lrTb"/>
            <w:noWrap w:val="false"/>
          </w:tcPr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Прошу установить мне ежемесячное дополнительное материальное обеспечение за награду: ________________________________________________________________________________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звание: _________________________________________________________________________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К заявлению прилагаю следующие документы: копии документов, подтверждающих наличие наград и званий, ________________________________________________________________________________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Выплату прошу перечислять на счет № ______________________________________________,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открытый в ______________________________________________________________________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(наименование кредитной организации)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Реквизиты банка: индивидуальный номер налогоплательщика (ИНН) ____________________,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банковский идентификационный код (БИК) __________________________________________,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код причины постановки на учет (КПП) ______________________________________________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либо производить через оператора почтовой связи (указать полный почтовый адрес): ________________________________________________________________________________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11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Обязуюсь информировать Департамент спорта Томской области об изменении (прекращении) обстоятельств, влияющих на получение дополнительного материального обеспечения, </w:t>
              <w:br/>
              <w:t xml:space="preserve">в течение пяти дней со дня возникновения таких обстоятельств.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11" w:type="dxa"/>
            <w:textDirection w:val="lrTb"/>
            <w:noWrap w:val="false"/>
          </w:tcPr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098" w:type="dxa"/>
            <w:textDirection w:val="lrTb"/>
            <w:noWrap w:val="false"/>
          </w:tcPr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92" w:type="dxa"/>
            <w:textDirection w:val="lrTb"/>
            <w:noWrap w:val="false"/>
          </w:tcPr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11" w:type="dxa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(дата)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98" w:type="dxa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(личная подпись)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92" w:type="dxa"/>
            <w:textDirection w:val="lrTb"/>
            <w:noWrap w:val="false"/>
          </w:tcPr>
          <w:p>
            <w:pPr>
              <w:pStyle w:val="911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pStyle w:val="911"/>
        <w:jc w:val="both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  <w:sz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highlight w:val="none"/>
        </w:rPr>
      </w:r>
    </w:p>
    <w:p>
      <w:pPr>
        <w:pStyle w:val="911"/>
        <w:jc w:val="both"/>
        <w:spacing w:before="100" w:after="100"/>
        <w:rPr>
          <w:rFonts w:ascii="PT Astra Serif" w:hAnsi="PT Astra Serif" w:cs="PT Astra Serif"/>
          <w:highlight w:val="none"/>
        </w:rPr>
        <w:pBdr>
          <w:bottom w:val="single" w:color="000000" w:sz="6" w:space="0"/>
        </w:pBdr>
      </w:pPr>
      <w:r>
        <w:rPr>
          <w:rFonts w:ascii="PT Astra Serif" w:hAnsi="PT Astra Serif" w:cs="PT Astra Serif"/>
          <w:sz w:val="2"/>
          <w:szCs w:val="2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highlight w:val="none"/>
        </w:rPr>
      </w:r>
    </w:p>
    <w:p>
      <w:pPr>
        <w:rPr>
          <w:rFonts w:ascii="PT Astra Serif" w:hAnsi="PT Astra Serif" w:cs="PT Astra Serif"/>
          <w:sz w:val="22"/>
          <w:szCs w:val="22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highlight w:val="none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992" w:right="709" w:bottom="851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</w:pPr>
    <w:r/>
    <w:r/>
  </w:p>
  <w:p>
    <w:pPr>
      <w:pStyle w:val="91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007685"/>
      <w:docPartObj>
        <w:docPartGallery w:val="Page Numbers (Top of Page)"/>
        <w:docPartUnique w:val="true"/>
      </w:docPartObj>
      <w:rPr/>
    </w:sdtPr>
    <w:sdtContent>
      <w:p>
        <w:pPr>
          <w:pStyle w:val="912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5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/>
      </w:p>
    </w:sdtContent>
  </w:sdt>
  <w:p>
    <w:pPr>
      <w:pStyle w:val="912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</w: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16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916"/>
      <w:spacing w:before="240" w:after="0"/>
      <w:rPr>
        <w:rFonts w:ascii="PT Astra Serif" w:hAnsi="PT Astra Serif" w:eastAsia="PT Astra Serif" w:cs="PT Astra Serif"/>
        <w:highlight w:val="none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  <w:p>
    <w:pPr>
      <w:pStyle w:val="916"/>
      <w:spacing w:before="240" w:after="0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  <w:szCs w:val="28"/>
        <w:highlight w:val="none"/>
      </w:rPr>
    </w:r>
    <w:r>
      <w:rPr>
        <w:rFonts w:ascii="PT Astra Serif" w:hAnsi="PT Astra Serif" w:eastAsia="PT Astra Serif" w:cs="PT Astra Serif"/>
        <w:szCs w:val="28"/>
        <w:highlight w:val="none"/>
      </w:rPr>
    </w:r>
    <w:r/>
  </w:p>
  <w:p>
    <w:pPr>
      <w:pStyle w:val="91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903"/>
    <w:link w:val="898"/>
    <w:uiPriority w:val="9"/>
    <w:rPr>
      <w:rFonts w:ascii="Arial" w:hAnsi="Arial" w:eastAsia="Arial" w:cs="Arial"/>
      <w:sz w:val="40"/>
      <w:szCs w:val="40"/>
    </w:rPr>
  </w:style>
  <w:style w:type="character" w:styleId="732">
    <w:name w:val="Heading 2 Char"/>
    <w:basedOn w:val="903"/>
    <w:link w:val="899"/>
    <w:uiPriority w:val="9"/>
    <w:rPr>
      <w:rFonts w:ascii="Arial" w:hAnsi="Arial" w:eastAsia="Arial" w:cs="Arial"/>
      <w:sz w:val="34"/>
    </w:rPr>
  </w:style>
  <w:style w:type="character" w:styleId="733">
    <w:name w:val="Heading 3 Char"/>
    <w:basedOn w:val="903"/>
    <w:link w:val="900"/>
    <w:uiPriority w:val="9"/>
    <w:rPr>
      <w:rFonts w:ascii="Arial" w:hAnsi="Arial" w:eastAsia="Arial" w:cs="Arial"/>
      <w:sz w:val="30"/>
      <w:szCs w:val="30"/>
    </w:rPr>
  </w:style>
  <w:style w:type="character" w:styleId="734">
    <w:name w:val="Heading 4 Char"/>
    <w:basedOn w:val="903"/>
    <w:link w:val="901"/>
    <w:uiPriority w:val="9"/>
    <w:rPr>
      <w:rFonts w:ascii="Arial" w:hAnsi="Arial" w:eastAsia="Arial" w:cs="Arial"/>
      <w:b/>
      <w:bCs/>
      <w:sz w:val="26"/>
      <w:szCs w:val="26"/>
    </w:rPr>
  </w:style>
  <w:style w:type="character" w:styleId="735">
    <w:name w:val="Heading 5 Char"/>
    <w:basedOn w:val="903"/>
    <w:link w:val="902"/>
    <w:uiPriority w:val="9"/>
    <w:rPr>
      <w:rFonts w:ascii="Arial" w:hAnsi="Arial" w:eastAsia="Arial" w:cs="Arial"/>
      <w:b/>
      <w:bCs/>
      <w:sz w:val="24"/>
      <w:szCs w:val="24"/>
    </w:rPr>
  </w:style>
  <w:style w:type="paragraph" w:styleId="736">
    <w:name w:val="Heading 6"/>
    <w:basedOn w:val="897"/>
    <w:next w:val="897"/>
    <w:link w:val="73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7">
    <w:name w:val="Heading 6 Char"/>
    <w:basedOn w:val="903"/>
    <w:link w:val="736"/>
    <w:uiPriority w:val="9"/>
    <w:rPr>
      <w:rFonts w:ascii="Arial" w:hAnsi="Arial" w:eastAsia="Arial" w:cs="Arial"/>
      <w:b/>
      <w:bCs/>
      <w:sz w:val="22"/>
      <w:szCs w:val="22"/>
    </w:rPr>
  </w:style>
  <w:style w:type="paragraph" w:styleId="738">
    <w:name w:val="Heading 7"/>
    <w:basedOn w:val="897"/>
    <w:next w:val="897"/>
    <w:link w:val="73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9">
    <w:name w:val="Heading 7 Char"/>
    <w:basedOn w:val="903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0">
    <w:name w:val="Heading 8"/>
    <w:basedOn w:val="897"/>
    <w:next w:val="897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1">
    <w:name w:val="Heading 8 Char"/>
    <w:basedOn w:val="903"/>
    <w:link w:val="740"/>
    <w:uiPriority w:val="9"/>
    <w:rPr>
      <w:rFonts w:ascii="Arial" w:hAnsi="Arial" w:eastAsia="Arial" w:cs="Arial"/>
      <w:i/>
      <w:iCs/>
      <w:sz w:val="22"/>
      <w:szCs w:val="22"/>
    </w:rPr>
  </w:style>
  <w:style w:type="paragraph" w:styleId="742">
    <w:name w:val="Heading 9"/>
    <w:basedOn w:val="897"/>
    <w:next w:val="897"/>
    <w:link w:val="74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>
    <w:name w:val="Heading 9 Char"/>
    <w:basedOn w:val="90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No Spacing"/>
    <w:uiPriority w:val="1"/>
    <w:qFormat/>
    <w:pPr>
      <w:spacing w:before="0" w:after="0" w:line="240" w:lineRule="auto"/>
    </w:pPr>
  </w:style>
  <w:style w:type="paragraph" w:styleId="745">
    <w:name w:val="Title"/>
    <w:basedOn w:val="897"/>
    <w:next w:val="897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>
    <w:name w:val="Title Char"/>
    <w:basedOn w:val="903"/>
    <w:link w:val="745"/>
    <w:uiPriority w:val="10"/>
    <w:rPr>
      <w:sz w:val="48"/>
      <w:szCs w:val="48"/>
    </w:rPr>
  </w:style>
  <w:style w:type="paragraph" w:styleId="747">
    <w:name w:val="Subtitle"/>
    <w:basedOn w:val="897"/>
    <w:next w:val="897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>
    <w:name w:val="Subtitle Char"/>
    <w:basedOn w:val="903"/>
    <w:link w:val="747"/>
    <w:uiPriority w:val="11"/>
    <w:rPr>
      <w:sz w:val="24"/>
      <w:szCs w:val="24"/>
    </w:rPr>
  </w:style>
  <w:style w:type="paragraph" w:styleId="749">
    <w:name w:val="Quote"/>
    <w:basedOn w:val="897"/>
    <w:next w:val="897"/>
    <w:link w:val="750"/>
    <w:uiPriority w:val="29"/>
    <w:qFormat/>
    <w:pPr>
      <w:ind w:left="720" w:right="720"/>
    </w:pPr>
    <w:rPr>
      <w:i/>
    </w:rPr>
  </w:style>
  <w:style w:type="character" w:styleId="750">
    <w:name w:val="Quote Char"/>
    <w:link w:val="749"/>
    <w:uiPriority w:val="29"/>
    <w:rPr>
      <w:i/>
    </w:rPr>
  </w:style>
  <w:style w:type="paragraph" w:styleId="751">
    <w:name w:val="Intense Quote"/>
    <w:basedOn w:val="897"/>
    <w:next w:val="897"/>
    <w:link w:val="75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>
    <w:name w:val="Intense Quote Char"/>
    <w:link w:val="751"/>
    <w:uiPriority w:val="30"/>
    <w:rPr>
      <w:i/>
    </w:rPr>
  </w:style>
  <w:style w:type="character" w:styleId="753">
    <w:name w:val="Header Char"/>
    <w:basedOn w:val="903"/>
    <w:link w:val="912"/>
    <w:uiPriority w:val="99"/>
  </w:style>
  <w:style w:type="character" w:styleId="754">
    <w:name w:val="Footer Char"/>
    <w:basedOn w:val="903"/>
    <w:link w:val="914"/>
    <w:uiPriority w:val="99"/>
  </w:style>
  <w:style w:type="character" w:styleId="755">
    <w:name w:val="Caption Char"/>
    <w:basedOn w:val="926"/>
    <w:link w:val="914"/>
    <w:uiPriority w:val="99"/>
  </w:style>
  <w:style w:type="table" w:styleId="756">
    <w:name w:val="Table Grid"/>
    <w:basedOn w:val="90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7">
    <w:name w:val="Table Grid Light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>
    <w:name w:val="Plain Table 1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9">
    <w:name w:val="Plain Table 2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1">
    <w:name w:val="Plain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Plain Table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3">
    <w:name w:val="Grid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5">
    <w:name w:val="Grid Table 4 - Accent 1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6">
    <w:name w:val="Grid Table 4 - Accent 2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Grid Table 4 - Accent 3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8">
    <w:name w:val="Grid Table 4 - Accent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Grid Table 4 - Accent 5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0">
    <w:name w:val="Grid Table 4 - Accent 6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1">
    <w:name w:val="Grid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2">
    <w:name w:val="Grid Table 5 Dark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3">
    <w:name w:val="Grid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5">
    <w:name w:val="Grid Table 5 Dark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8">
    <w:name w:val="Grid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9">
    <w:name w:val="Grid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0">
    <w:name w:val="Grid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1">
    <w:name w:val="Grid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2">
    <w:name w:val="Grid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3">
    <w:name w:val="Grid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4">
    <w:name w:val="Grid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5">
    <w:name w:val="Grid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0">
    <w:name w:val="List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1">
    <w:name w:val="List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2">
    <w:name w:val="List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3">
    <w:name w:val="List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4">
    <w:name w:val="List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5">
    <w:name w:val="List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6">
    <w:name w:val="List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8">
    <w:name w:val="List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9">
    <w:name w:val="List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0">
    <w:name w:val="List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1">
    <w:name w:val="List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2">
    <w:name w:val="List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3">
    <w:name w:val="List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4">
    <w:name w:val="List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5">
    <w:name w:val="List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6">
    <w:name w:val="List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7">
    <w:name w:val="List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8">
    <w:name w:val="List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9">
    <w:name w:val="List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0">
    <w:name w:val="List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1">
    <w:name w:val="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2">
    <w:name w:val="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3">
    <w:name w:val="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4">
    <w:name w:val="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5">
    <w:name w:val="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6">
    <w:name w:val="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7">
    <w:name w:val="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8">
    <w:name w:val="Bordered &amp; 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9">
    <w:name w:val="Bordered &amp; 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0">
    <w:name w:val="Bordered &amp; 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1">
    <w:name w:val="Bordered &amp; 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2">
    <w:name w:val="Bordered &amp; 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3">
    <w:name w:val="Bordered &amp; 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4">
    <w:name w:val="Bordered &amp; 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5">
    <w:name w:val="Bordered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6">
    <w:name w:val="Bordered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7">
    <w:name w:val="Bordered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8">
    <w:name w:val="Bordered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9">
    <w:name w:val="Bordered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0">
    <w:name w:val="Bordered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1">
    <w:name w:val="Bordered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2">
    <w:name w:val="Footnote Text Char"/>
    <w:link w:val="919"/>
    <w:uiPriority w:val="99"/>
    <w:rPr>
      <w:sz w:val="18"/>
    </w:rPr>
  </w:style>
  <w:style w:type="paragraph" w:styleId="883">
    <w:name w:val="endnote text"/>
    <w:basedOn w:val="897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>
    <w:name w:val="Endnote Text Char"/>
    <w:link w:val="883"/>
    <w:uiPriority w:val="99"/>
    <w:rPr>
      <w:sz w:val="20"/>
    </w:rPr>
  </w:style>
  <w:style w:type="character" w:styleId="885">
    <w:name w:val="endnote reference"/>
    <w:basedOn w:val="903"/>
    <w:uiPriority w:val="99"/>
    <w:semiHidden/>
    <w:unhideWhenUsed/>
    <w:rPr>
      <w:vertAlign w:val="superscript"/>
    </w:rPr>
  </w:style>
  <w:style w:type="paragraph" w:styleId="886">
    <w:name w:val="toc 1"/>
    <w:basedOn w:val="897"/>
    <w:next w:val="897"/>
    <w:uiPriority w:val="39"/>
    <w:unhideWhenUsed/>
    <w:pPr>
      <w:ind w:left="0" w:right="0" w:firstLine="0"/>
      <w:spacing w:after="57"/>
    </w:pPr>
  </w:style>
  <w:style w:type="paragraph" w:styleId="887">
    <w:name w:val="toc 2"/>
    <w:basedOn w:val="897"/>
    <w:next w:val="897"/>
    <w:uiPriority w:val="39"/>
    <w:unhideWhenUsed/>
    <w:pPr>
      <w:ind w:left="283" w:right="0" w:firstLine="0"/>
      <w:spacing w:after="57"/>
    </w:pPr>
  </w:style>
  <w:style w:type="paragraph" w:styleId="888">
    <w:name w:val="toc 3"/>
    <w:basedOn w:val="897"/>
    <w:next w:val="897"/>
    <w:uiPriority w:val="39"/>
    <w:unhideWhenUsed/>
    <w:pPr>
      <w:ind w:left="567" w:right="0" w:firstLine="0"/>
      <w:spacing w:after="57"/>
    </w:pPr>
  </w:style>
  <w:style w:type="paragraph" w:styleId="889">
    <w:name w:val="toc 4"/>
    <w:basedOn w:val="897"/>
    <w:next w:val="897"/>
    <w:uiPriority w:val="39"/>
    <w:unhideWhenUsed/>
    <w:pPr>
      <w:ind w:left="850" w:right="0" w:firstLine="0"/>
      <w:spacing w:after="57"/>
    </w:pPr>
  </w:style>
  <w:style w:type="paragraph" w:styleId="890">
    <w:name w:val="toc 5"/>
    <w:basedOn w:val="897"/>
    <w:next w:val="897"/>
    <w:uiPriority w:val="39"/>
    <w:unhideWhenUsed/>
    <w:pPr>
      <w:ind w:left="1134" w:right="0" w:firstLine="0"/>
      <w:spacing w:after="57"/>
    </w:pPr>
  </w:style>
  <w:style w:type="paragraph" w:styleId="891">
    <w:name w:val="toc 6"/>
    <w:basedOn w:val="897"/>
    <w:next w:val="897"/>
    <w:uiPriority w:val="39"/>
    <w:unhideWhenUsed/>
    <w:pPr>
      <w:ind w:left="1417" w:right="0" w:firstLine="0"/>
      <w:spacing w:after="57"/>
    </w:pPr>
  </w:style>
  <w:style w:type="paragraph" w:styleId="892">
    <w:name w:val="toc 7"/>
    <w:basedOn w:val="897"/>
    <w:next w:val="897"/>
    <w:uiPriority w:val="39"/>
    <w:unhideWhenUsed/>
    <w:pPr>
      <w:ind w:left="1701" w:right="0" w:firstLine="0"/>
      <w:spacing w:after="57"/>
    </w:pPr>
  </w:style>
  <w:style w:type="paragraph" w:styleId="893">
    <w:name w:val="toc 8"/>
    <w:basedOn w:val="897"/>
    <w:next w:val="897"/>
    <w:uiPriority w:val="39"/>
    <w:unhideWhenUsed/>
    <w:pPr>
      <w:ind w:left="1984" w:right="0" w:firstLine="0"/>
      <w:spacing w:after="57"/>
    </w:pPr>
  </w:style>
  <w:style w:type="paragraph" w:styleId="894">
    <w:name w:val="toc 9"/>
    <w:basedOn w:val="897"/>
    <w:next w:val="897"/>
    <w:uiPriority w:val="39"/>
    <w:unhideWhenUsed/>
    <w:pPr>
      <w:ind w:left="2268" w:right="0" w:firstLine="0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897"/>
    <w:next w:val="897"/>
    <w:uiPriority w:val="99"/>
    <w:unhideWhenUsed/>
    <w:pPr>
      <w:spacing w:after="0" w:afterAutospacing="0"/>
    </w:pPr>
  </w:style>
  <w:style w:type="paragraph" w:styleId="897" w:default="1">
    <w:name w:val="Normal"/>
    <w:qFormat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lang w:bidi="en-US"/>
    </w:rPr>
  </w:style>
  <w:style w:type="paragraph" w:styleId="898">
    <w:name w:val="Heading 1"/>
    <w:basedOn w:val="897"/>
    <w:next w:val="897"/>
    <w:link w:val="906"/>
    <w:qFormat/>
    <w:pPr>
      <w:ind w:left="360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0"/>
    </w:pPr>
    <w:rPr>
      <w:b/>
      <w:bCs/>
      <w:sz w:val="24"/>
      <w:szCs w:val="16"/>
      <w:lang w:eastAsia="ru-RU" w:bidi="ar-SA"/>
    </w:rPr>
  </w:style>
  <w:style w:type="paragraph" w:styleId="899">
    <w:name w:val="Heading 2"/>
    <w:basedOn w:val="897"/>
    <w:next w:val="897"/>
    <w:link w:val="907"/>
    <w:qFormat/>
    <w:pPr>
      <w:ind w:firstLine="709"/>
      <w:jc w:val="right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1"/>
    </w:pPr>
    <w:rPr>
      <w:b/>
      <w:bCs/>
      <w:sz w:val="24"/>
      <w:szCs w:val="16"/>
      <w:lang w:eastAsia="ru-RU" w:bidi="ar-SA"/>
    </w:rPr>
  </w:style>
  <w:style w:type="paragraph" w:styleId="900">
    <w:name w:val="Heading 3"/>
    <w:basedOn w:val="897"/>
    <w:next w:val="897"/>
    <w:link w:val="908"/>
    <w:qFormat/>
    <w:pPr>
      <w:ind w:firstLine="709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2"/>
    </w:pPr>
    <w:rPr>
      <w:b/>
      <w:bCs/>
      <w:sz w:val="24"/>
      <w:szCs w:val="16"/>
      <w:lang w:eastAsia="ru-RU" w:bidi="ar-SA"/>
    </w:rPr>
  </w:style>
  <w:style w:type="paragraph" w:styleId="901">
    <w:name w:val="Heading 4"/>
    <w:basedOn w:val="897"/>
    <w:next w:val="897"/>
    <w:link w:val="909"/>
    <w:qFormat/>
    <w:pPr>
      <w:ind w:firstLine="709"/>
      <w:jc w:val="center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3"/>
    </w:pPr>
    <w:rPr>
      <w:b/>
      <w:bCs/>
      <w:sz w:val="24"/>
      <w:szCs w:val="16"/>
      <w:lang w:eastAsia="ru-RU" w:bidi="ar-SA"/>
    </w:rPr>
  </w:style>
  <w:style w:type="paragraph" w:styleId="902">
    <w:name w:val="Heading 5"/>
    <w:basedOn w:val="897"/>
    <w:next w:val="897"/>
    <w:link w:val="910"/>
    <w:qFormat/>
    <w:pPr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4"/>
    </w:pPr>
    <w:rPr>
      <w:b/>
      <w:bCs/>
      <w:sz w:val="24"/>
      <w:szCs w:val="16"/>
      <w:lang w:eastAsia="ru-RU" w:bidi="ar-SA"/>
    </w:rPr>
  </w:style>
  <w:style w:type="character" w:styleId="903" w:default="1">
    <w:name w:val="Default Paragraph Font"/>
    <w:uiPriority w:val="1"/>
    <w:semiHidden/>
    <w:unhideWhenUsed/>
  </w:style>
  <w:style w:type="table" w:styleId="90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5" w:default="1">
    <w:name w:val="No List"/>
    <w:uiPriority w:val="99"/>
    <w:semiHidden/>
    <w:unhideWhenUsed/>
  </w:style>
  <w:style w:type="character" w:styleId="906" w:customStyle="1">
    <w:name w:val="Заголовок 1 Знак"/>
    <w:basedOn w:val="903"/>
    <w:link w:val="898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7" w:customStyle="1">
    <w:name w:val="Заголовок 2 Знак"/>
    <w:basedOn w:val="903"/>
    <w:link w:val="899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8" w:customStyle="1">
    <w:name w:val="Заголовок 3 Знак"/>
    <w:basedOn w:val="903"/>
    <w:link w:val="900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9" w:customStyle="1">
    <w:name w:val="Заголовок 4 Знак"/>
    <w:basedOn w:val="903"/>
    <w:link w:val="901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10" w:customStyle="1">
    <w:name w:val="Заголовок 5 Знак"/>
    <w:basedOn w:val="903"/>
    <w:link w:val="902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paragraph" w:styleId="911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12">
    <w:name w:val="Header"/>
    <w:basedOn w:val="897"/>
    <w:link w:val="91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3" w:customStyle="1">
    <w:name w:val="Верхний колонтитул Знак"/>
    <w:basedOn w:val="903"/>
    <w:link w:val="912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4">
    <w:name w:val="Footer"/>
    <w:basedOn w:val="897"/>
    <w:link w:val="915"/>
    <w:unhideWhenUsed/>
    <w:pPr>
      <w:tabs>
        <w:tab w:val="center" w:pos="4677" w:leader="none"/>
        <w:tab w:val="right" w:pos="9355" w:leader="none"/>
      </w:tabs>
    </w:pPr>
  </w:style>
  <w:style w:type="character" w:styleId="915" w:customStyle="1">
    <w:name w:val="Нижний колонтитул Знак"/>
    <w:basedOn w:val="903"/>
    <w:link w:val="914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6" w:customStyle="1">
    <w:name w:val="Верхний колонтитул1"/>
    <w:basedOn w:val="89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17">
    <w:name w:val="Balloon Text"/>
    <w:basedOn w:val="897"/>
    <w:link w:val="918"/>
    <w:semiHidden/>
    <w:unhideWhenUsed/>
    <w:rPr>
      <w:rFonts w:ascii="Tahoma" w:hAnsi="Tahoma" w:cs="Tahoma"/>
      <w:sz w:val="16"/>
      <w:szCs w:val="16"/>
    </w:rPr>
  </w:style>
  <w:style w:type="character" w:styleId="918" w:customStyle="1">
    <w:name w:val="Текст выноски Знак"/>
    <w:basedOn w:val="903"/>
    <w:link w:val="917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919">
    <w:name w:val="footnote text"/>
    <w:link w:val="920"/>
    <w:uiPriority w:val="99"/>
    <w:semiHidden/>
    <w:unhideWhenUsed/>
    <w:pPr>
      <w:spacing w:after="4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20" w:customStyle="1">
    <w:name w:val="Текст сноски Знак"/>
    <w:basedOn w:val="903"/>
    <w:link w:val="919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21">
    <w:name w:val="footnote reference"/>
    <w:uiPriority w:val="99"/>
    <w:unhideWhenUsed/>
    <w:rPr>
      <w:vertAlign w:val="superscript"/>
    </w:rPr>
  </w:style>
  <w:style w:type="character" w:styleId="922">
    <w:name w:val="Hyperlink"/>
    <w:basedOn w:val="903"/>
    <w:unhideWhenUsed/>
    <w:rPr>
      <w:color w:val="0000ff" w:themeColor="hyperlink"/>
      <w:u w:val="single"/>
    </w:rPr>
  </w:style>
  <w:style w:type="paragraph" w:styleId="923">
    <w:name w:val="Body Text"/>
    <w:basedOn w:val="897"/>
    <w:next w:val="897"/>
    <w:link w:val="924"/>
    <w:pPr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2"/>
      <w:szCs w:val="20"/>
      <w:lang w:eastAsia="ru-RU" w:bidi="ar-SA"/>
    </w:rPr>
  </w:style>
  <w:style w:type="character" w:styleId="924" w:customStyle="1">
    <w:name w:val="Основной текст Знак"/>
    <w:basedOn w:val="903"/>
    <w:link w:val="923"/>
    <w:rPr>
      <w:rFonts w:ascii="Times New Roman" w:hAnsi="Times New Roman" w:eastAsia="Times New Roman" w:cs="Times New Roman"/>
      <w:szCs w:val="20"/>
      <w:lang w:eastAsia="ru-RU"/>
    </w:rPr>
  </w:style>
  <w:style w:type="character" w:styleId="925">
    <w:name w:val="page number"/>
    <w:basedOn w:val="903"/>
  </w:style>
  <w:style w:type="paragraph" w:styleId="926">
    <w:name w:val="Caption"/>
    <w:basedOn w:val="897"/>
    <w:next w:val="897"/>
    <w:qFormat/>
    <w:pPr>
      <w:ind w:firstLine="709"/>
      <w:jc w:val="center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8"/>
      <w:szCs w:val="20"/>
      <w:lang w:eastAsia="ru-RU" w:bidi="ar-SA"/>
    </w:rPr>
  </w:style>
  <w:style w:type="paragraph" w:styleId="927">
    <w:name w:val="Body Text Indent 2"/>
    <w:basedOn w:val="897"/>
    <w:link w:val="928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28" w:customStyle="1">
    <w:name w:val="Основной текст с отступом 2 Знак"/>
    <w:basedOn w:val="903"/>
    <w:link w:val="927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29" w:customStyle="1">
    <w:name w:val="Обращение"/>
    <w:basedOn w:val="897"/>
    <w:next w:val="897"/>
    <w:pPr>
      <w:jc w:val="center"/>
      <w:spacing w:before="240" w:after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30" w:customStyle="1">
    <w:name w:val="Адресные реквизиты"/>
    <w:basedOn w:val="923"/>
    <w:next w:val="923"/>
    <w:pPr>
      <w:jc w:val="left"/>
    </w:pPr>
    <w:rPr>
      <w:sz w:val="16"/>
    </w:rPr>
  </w:style>
  <w:style w:type="paragraph" w:styleId="931" w:customStyle="1">
    <w:name w:val="Адресат"/>
    <w:basedOn w:val="897"/>
    <w:pPr>
      <w:spacing w:before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32">
    <w:name w:val="Body Text Indent 3"/>
    <w:basedOn w:val="897"/>
    <w:link w:val="933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8"/>
      <w:szCs w:val="20"/>
      <w:lang w:eastAsia="ru-RU" w:bidi="ar-SA"/>
    </w:rPr>
  </w:style>
  <w:style w:type="character" w:styleId="933" w:customStyle="1">
    <w:name w:val="Основной текст с отступом 3 Знак"/>
    <w:basedOn w:val="903"/>
    <w:link w:val="932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34">
    <w:name w:val="Body Text Indent"/>
    <w:basedOn w:val="897"/>
    <w:link w:val="935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0"/>
      <w:lang w:eastAsia="ru-RU" w:bidi="ar-SA"/>
    </w:rPr>
  </w:style>
  <w:style w:type="character" w:styleId="935" w:customStyle="1">
    <w:name w:val="Основной текст с отступом Знак"/>
    <w:basedOn w:val="903"/>
    <w:link w:val="934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36">
    <w:name w:val="Body Text 2"/>
    <w:basedOn w:val="897"/>
    <w:link w:val="937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37" w:customStyle="1">
    <w:name w:val="Основной текст 2 Знак"/>
    <w:basedOn w:val="903"/>
    <w:link w:val="936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38" w:customStyle="1">
    <w:name w:val="Должность"/>
    <w:basedOn w:val="897"/>
    <w:next w:val="897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i/>
      <w:color w:val="000000"/>
      <w:sz w:val="24"/>
      <w:szCs w:val="20"/>
      <w:lang w:eastAsia="ru-RU" w:bidi="ar-SA"/>
    </w:rPr>
  </w:style>
  <w:style w:type="paragraph" w:styleId="939">
    <w:name w:val="Plain Text"/>
    <w:basedOn w:val="897"/>
    <w:link w:val="940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Courier New" w:hAnsi="Courier New"/>
      <w:szCs w:val="20"/>
      <w:lang w:eastAsia="ru-RU" w:bidi="ar-SA"/>
    </w:rPr>
  </w:style>
  <w:style w:type="character" w:styleId="940" w:customStyle="1">
    <w:name w:val="Текст Знак"/>
    <w:basedOn w:val="903"/>
    <w:link w:val="939"/>
    <w:uiPriority w:val="99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41">
    <w:name w:val="List Paragraph"/>
    <w:basedOn w:val="897"/>
    <w:uiPriority w:val="34"/>
    <w:qFormat/>
    <w:pPr>
      <w:contextualSpacing/>
      <w:ind w:left="7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2" w:customStyle="1">
    <w:name w:val="s_1"/>
    <w:basedOn w:val="897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3" w:customStyle="1">
    <w:name w:val="s_16"/>
    <w:basedOn w:val="897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44" w:customStyle="1">
    <w:name w:val="apple-converted-space"/>
    <w:basedOn w:val="903"/>
  </w:style>
  <w:style w:type="character" w:styleId="945">
    <w:name w:val="annotation reference"/>
    <w:rPr>
      <w:sz w:val="16"/>
      <w:szCs w:val="16"/>
    </w:rPr>
  </w:style>
  <w:style w:type="paragraph" w:styleId="946">
    <w:name w:val="annotation text"/>
    <w:basedOn w:val="897"/>
    <w:link w:val="947"/>
    <w:pPr>
      <w:ind w:firstLine="709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Cs w:val="20"/>
      <w:lang w:eastAsia="ru-RU" w:bidi="ar-SA"/>
    </w:rPr>
  </w:style>
  <w:style w:type="character" w:styleId="947" w:customStyle="1">
    <w:name w:val="Текст примечания Знак"/>
    <w:basedOn w:val="903"/>
    <w:link w:val="94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48">
    <w:name w:val="annotation subject"/>
    <w:basedOn w:val="946"/>
    <w:next w:val="946"/>
    <w:link w:val="949"/>
    <w:rPr>
      <w:b/>
      <w:bCs/>
    </w:rPr>
  </w:style>
  <w:style w:type="character" w:styleId="949" w:customStyle="1">
    <w:name w:val="Тема примечания Знак"/>
    <w:basedOn w:val="947"/>
    <w:link w:val="948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950" w:customStyle="1">
    <w:name w:val="ConsPlusTitle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Arial"/>
      <w:b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en-US" w:eastAsia="zh-CN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DB18-2DBE-4076-930C-3E37463B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22</cp:revision>
  <dcterms:created xsi:type="dcterms:W3CDTF">2026-01-22T11:01:00Z</dcterms:created>
  <dcterms:modified xsi:type="dcterms:W3CDTF">2026-08-14T03:52:08Z</dcterms:modified>
</cp:coreProperties>
</file>