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color="000000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>
        <w:trPr/>
        <w:tc>
          <w:tcPr>
            <w:tcBorders>
              <w:bottom w:val="none" w:color="000000" w:sz="4" w:space="0"/>
            </w:tcBorders>
            <w:tcW w:w="1700" w:type="dxa"/>
            <w:textDirection w:val="lrTb"/>
            <w:noWrap w:val="false"/>
          </w:tcPr>
          <w:p>
            <w:r/>
            <w:r/>
          </w:p>
        </w:tc>
        <w:tc>
          <w:tcPr>
            <w:tcBorders>
              <w:bottom w:val="none" w:color="000000" w:sz="4" w:space="0"/>
            </w:tcBorders>
            <w:tcMar>
              <w:left w:w="0" w:type="dxa"/>
              <w:top w:w="0" w:type="dxa"/>
              <w:right w:w="85" w:type="dxa"/>
              <w:bottom w:w="0" w:type="dxa"/>
            </w:tcMar>
            <w:tcW w:w="5669" w:type="dxa"/>
            <w:textDirection w:val="lrTb"/>
            <w:noWrap w:val="false"/>
          </w:tcPr>
          <w:p>
            <w:pPr>
              <w:pStyle w:val="879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cs="PT Astra Serif"/>
                <w:color w:val="000000"/>
                <w:sz w:val="26"/>
                <w:szCs w:val="26"/>
              </w:rPr>
            </w:r>
            <w:bookmarkEnd w:id="0"/>
            <w:r/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79"/>
              <w:ind w:right="0"/>
              <w:jc w:val="right"/>
              <w:spacing w:before="480"/>
              <w:rPr>
                <w:rFonts w:ascii="PT Astra Serif" w:hAnsi="PT Astra Serif" w:cs="PT Astra Serif"/>
                <w:color w:val="000000"/>
                <w:sz w:val="26"/>
                <w:szCs w:val="26"/>
              </w:rPr>
              <w:pBdr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between w:val="none" w:color="000000" w:sz="0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6"/>
                <w:szCs w:val="26"/>
              </w:rPr>
            </w:r>
            <w:r/>
          </w:p>
        </w:tc>
      </w:tr>
    </w:tbl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left="-142" w:firstLine="142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Об утверждении </w:t>
      </w:r>
      <w:r>
        <w:rPr>
          <w:rFonts w:ascii="PT Astra Serif" w:hAnsi="PT Astra Serif"/>
          <w:bCs/>
          <w:color w:val="000000"/>
          <w:sz w:val="26"/>
          <w:szCs w:val="26"/>
        </w:rPr>
        <w:t xml:space="preserve">Административного регламента </w:t>
      </w:r>
      <w:r>
        <w:rPr>
          <w:rFonts w:ascii="PT Astra Serif" w:hAnsi="PT Astra Serif"/>
          <w:sz w:val="26"/>
          <w:szCs w:val="26"/>
        </w:rPr>
        <w:t xml:space="preserve"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</w:t>
      </w:r>
      <w:r>
        <w:rPr>
          <w:rFonts w:ascii="PT Astra Serif" w:hAnsi="PT Astra Serif" w:cs="PT Astra Serif"/>
          <w:sz w:val="26"/>
          <w:szCs w:val="26"/>
        </w:rPr>
        <w:t xml:space="preserve">» на территории Томской области</w:t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color w:val="000000"/>
          <w:sz w:val="26"/>
          <w:szCs w:val="26"/>
        </w:rPr>
        <w:t xml:space="preserve">Федеральным законом от 27 июля 2010 года № 210-ФЗ «Об организации предоставления государственных и муниципальных услуг», постановлением Администрации Томской от 04.03.2024 № 65а «О разработке и утверждении </w:t>
      </w:r>
      <w:r>
        <w:rPr>
          <w:rFonts w:ascii="PT Astra Serif" w:hAnsi="PT Astra Serif"/>
          <w:sz w:val="26"/>
          <w:szCs w:val="26"/>
        </w:rPr>
        <w:t xml:space="preserve">админи</w:t>
      </w:r>
      <w:r>
        <w:rPr>
          <w:rFonts w:ascii="PT Astra Serif" w:hAnsi="PT Astra Serif"/>
          <w:sz w:val="26"/>
          <w:szCs w:val="26"/>
        </w:rPr>
        <w:t xml:space="preserve">стративных регламентов предоставления государственных услуг в Томской области»,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</w:t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ПРИКАЗЫВАЮ:</w:t>
      </w:r>
      <w:r/>
    </w:p>
    <w:p>
      <w:pPr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Утвердит</w:t>
      </w:r>
      <w:r>
        <w:rPr>
          <w:rFonts w:ascii="PT Astra Serif" w:hAnsi="PT Astra Serif"/>
          <w:sz w:val="26"/>
          <w:szCs w:val="26"/>
        </w:rPr>
        <w:t xml:space="preserve">ь 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 согласно приложению к настоящему приказу.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2. Признать утратившим силу приказ Департамента лицензирования и регионального государственного контроля Томской области от 09.12.2025 № 899 «</w:t>
      </w:r>
      <w:r>
        <w:rPr>
          <w:rFonts w:ascii="PT Astra Serif" w:hAnsi="PT Astra Serif"/>
          <w:bCs/>
          <w:sz w:val="26"/>
          <w:szCs w:val="26"/>
        </w:rPr>
        <w:t xml:space="preserve">Об утверждении Административного регламента </w:t>
      </w:r>
      <w:r>
        <w:rPr>
          <w:rFonts w:ascii="PT Astra Serif" w:hAnsi="PT Astra Serif"/>
          <w:sz w:val="26"/>
          <w:szCs w:val="26"/>
        </w:rPr>
        <w:t xml:space="preserve">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области» </w:t>
      </w:r>
      <w:bookmarkStart w:id="1" w:name="_Hlk214896706"/>
      <w:r>
        <w:rPr>
          <w:rFonts w:ascii="PT Astra Serif" w:hAnsi="PT Astra Serif"/>
          <w:sz w:val="26"/>
          <w:szCs w:val="26"/>
        </w:rPr>
        <w:t xml:space="preserve">(</w:t>
      </w:r>
      <w:r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(</w:t>
      </w:r>
      <w:r>
        <w:rPr>
          <w:rFonts w:ascii="PT Astra Serif" w:hAnsi="PT Astra Serif" w:cs="PT Astra Serif"/>
          <w:sz w:val="26"/>
          <w:szCs w:val="26"/>
          <w:lang w:val="en-US"/>
        </w:rPr>
        <w:t xml:space="preserve">www</w:t>
      </w:r>
      <w:r>
        <w:rPr>
          <w:rFonts w:ascii="PT Astra Serif" w:hAnsi="PT Astra Serif" w:cs="PT Astra Serif"/>
          <w:sz w:val="26"/>
          <w:szCs w:val="26"/>
        </w:rPr>
        <w:t xml:space="preserve">.pravo.gov.ru),</w:t>
      </w:r>
      <w:r>
        <w:rPr>
          <w:rFonts w:ascii="PT Astra Serif" w:hAnsi="PT Astra Serif"/>
          <w:sz w:val="26"/>
          <w:szCs w:val="26"/>
        </w:rPr>
        <w:t xml:space="preserve"> 10.12.2025, № 7001202512100016).</w:t>
      </w:r>
      <w:bookmarkEnd w:id="1"/>
      <w:r/>
    </w:p>
    <w:p>
      <w:pPr>
        <w:pStyle w:val="893"/>
        <w:ind w:firstLine="709"/>
        <w:jc w:val="both"/>
        <w:spacing w:before="0" w:after="0" w:line="240" w:lineRule="auto"/>
        <w:shd w:val="clear" w:color="auto" w:fill="auto"/>
        <w:tabs>
          <w:tab w:val="left" w:pos="993" w:leader="none"/>
        </w:tabs>
        <w:rPr>
          <w:rStyle w:val="891"/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Контроль за исполнением настоящего приказа оставляю за собой.</w:t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>
        <w:trPr/>
        <w:tc>
          <w:tcPr>
            <w:shd w:val="clear" w:color="ffffff" w:fill="ffffff"/>
            <w:tcW w:w="3831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  <w:t xml:space="preserve">Начальник департамента</w:t>
            </w:r>
            <w:r/>
          </w:p>
        </w:tc>
        <w:tc>
          <w:tcPr>
            <w:shd w:val="clear" w:color="ffffff" w:fill="ffffff"/>
            <w:tcW w:w="3507" w:type="dxa"/>
            <w:vAlign w:val="center"/>
            <w:textDirection w:val="lrTb"/>
            <w:noWrap w:val="false"/>
          </w:tcPr>
          <w:p>
            <w:pPr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/>
          </w:p>
        </w:tc>
        <w:tc>
          <w:tcPr>
            <w:shd w:val="clear" w:color="ffffff" w:fill="ffffff"/>
            <w:tcW w:w="2301" w:type="dxa"/>
            <w:vAlign w:val="center"/>
            <w:textDirection w:val="lrTb"/>
            <w:noWrap w:val="false"/>
          </w:tcPr>
          <w:p>
            <w:pPr>
              <w:jc w:val="right"/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Calibri"/>
                <w:sz w:val="26"/>
                <w:szCs w:val="26"/>
                <w:lang w:eastAsia="en-US"/>
              </w:rPr>
              <w:t xml:space="preserve">А.Н. Деев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jc w:val="both"/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pBdr>
          <w:right w:val="none" w:color="000000" w:sz="4" w:space="3"/>
        </w:pBdr>
      </w:pPr>
      <w:r>
        <w:rPr>
          <w:rFonts w:ascii="PT Astra Serif" w:hAnsi="PT Astra Serif" w:cs="PT Astra Serif"/>
          <w:sz w:val="18"/>
          <w:szCs w:val="18"/>
        </w:rPr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sz w:val="18"/>
          <w:szCs w:val="18"/>
        </w:rPr>
        <w:sectPr>
          <w:headerReference w:type="default" r:id="rId9"/>
          <w:headerReference w:type="first" r:id="rId10"/>
          <w:footnotePr/>
          <w:endnotePr/>
          <w:type w:val="continuous"/>
          <w:pgSz w:w="11907" w:h="16840" w:orient="portrait"/>
          <w:pgMar w:top="1134" w:right="567" w:bottom="1134" w:left="1134" w:header="714" w:footer="709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sz w:val="18"/>
          <w:szCs w:val="18"/>
        </w:rPr>
        <w:fldChar w:fldCharType="begin"/>
      </w:r>
      <w:r>
        <w:rPr>
          <w:rFonts w:ascii="PT Astra Serif" w:hAnsi="PT Astra Serif" w:eastAsia="PT Astra Serif" w:cs="PT Astra Serif"/>
          <w:sz w:val="18"/>
          <w:szCs w:val="18"/>
        </w:rPr>
        <w:instrText xml:space="preserve"> FILENAME </w:instrText>
      </w:r>
      <w:r>
        <w:rPr>
          <w:rFonts w:ascii="PT Astra Serif" w:hAnsi="PT Astra Serif" w:eastAsia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hAnsi="PT Astra Serif" w:eastAsia="PT Astra Serif" w:cs="PT Astra Serif"/>
          <w:sz w:val="18"/>
          <w:szCs w:val="18"/>
        </w:rPr>
        <w:fldChar w:fldCharType="end"/>
      </w:r>
      <w:r/>
    </w:p>
    <w:p>
      <w:pPr>
        <w:ind w:left="566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Приложение</w:t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УТВЕРЖДЕН</w:t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приказ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ом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Департамента лицензирования и регионального государственного контроля </w:t>
      </w:r>
      <w:r/>
    </w:p>
    <w:p>
      <w:pPr>
        <w:ind w:left="5669"/>
        <w:rPr>
          <w:rFonts w:ascii="PT Astra Serif" w:hAnsi="PT Astra Serif" w:eastAsia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Томской области</w:t>
      </w:r>
      <w:r/>
    </w:p>
    <w:p>
      <w:pPr>
        <w:tabs>
          <w:tab w:val="left" w:pos="7088" w:leader="none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  <w:r>
        <w:rPr>
          <w:rFonts w:ascii="PT Astra Serif" w:hAnsi="PT Astra Serif" w:cs="PT Astra Serif"/>
          <w:color w:val="000000"/>
          <w:sz w:val="26"/>
          <w:szCs w:val="26"/>
          <w:highlight w:val="lightGray"/>
        </w:rPr>
      </w:r>
      <w:r/>
    </w:p>
    <w:p>
      <w:pPr>
        <w:pStyle w:val="87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Административный регламент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</w:t>
      </w:r>
      <w:r/>
    </w:p>
    <w:p>
      <w:pPr>
        <w:ind w:firstLine="709"/>
        <w:jc w:val="both"/>
        <w:tabs>
          <w:tab w:val="left" w:pos="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widowControl w:val="off"/>
        <w:rPr>
          <w:rFonts w:ascii="PT Astra Serif" w:hAnsi="PT Astra Serif"/>
          <w:sz w:val="26"/>
          <w:szCs w:val="26"/>
        </w:rPr>
        <w:outlineLvl w:val="1"/>
      </w:pPr>
      <w:r/>
      <w:bookmarkStart w:id="2" w:name="Par59"/>
      <w:r/>
      <w:bookmarkEnd w:id="2"/>
      <w:r>
        <w:rPr>
          <w:rFonts w:ascii="PT Astra Serif" w:hAnsi="PT Astra Serif"/>
          <w:sz w:val="26"/>
          <w:szCs w:val="26"/>
        </w:rPr>
        <w:t xml:space="preserve">1. Общие положения </w:t>
      </w:r>
      <w:r/>
    </w:p>
    <w:p>
      <w:pPr>
        <w:ind w:firstLine="709"/>
        <w:jc w:val="center"/>
        <w:widowControl w:val="off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Настоящий Административн</w:t>
      </w:r>
      <w:r>
        <w:rPr>
          <w:rFonts w:ascii="PT Astra Serif" w:hAnsi="PT Astra Serif"/>
          <w:sz w:val="26"/>
          <w:szCs w:val="26"/>
        </w:rPr>
        <w:t xml:space="preserve">ый регламент устанавливает стандарт предоставления государственной услуги «Лицензирование деятельности по заготовке, хранению, переработке и реализации лома черных металлов, цветных металлов» на территории Томской области  (далее - государственная услуга).</w:t>
      </w:r>
      <w:r/>
    </w:p>
    <w:p>
      <w:pPr>
        <w:pStyle w:val="88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Настоящий Административный регламент разработан в соответствии с </w:t>
      </w:r>
      <w:hyperlink r:id="rId12" w:tooltip="consultantplus://offline/ref=CEE453A2CB28F7102C0462E5185FF46E9F877D88D042658249AB3A62BC4A9C31A65286EAB958231AfB29B" w:history="1">
        <w:r>
          <w:rPr>
            <w:rFonts w:ascii="PT Astra Serif" w:hAnsi="PT Astra Serif" w:cs="Times New Roman"/>
            <w:sz w:val="26"/>
            <w:szCs w:val="26"/>
          </w:rPr>
          <w:t xml:space="preserve">частью 1 статьи 13</w:t>
        </w:r>
      </w:hyperlink>
      <w:r>
        <w:rPr>
          <w:rFonts w:ascii="PT Astra Serif" w:hAnsi="PT Astra Serif" w:cs="Times New Roman"/>
          <w:sz w:val="26"/>
          <w:szCs w:val="26"/>
        </w:rPr>
        <w:t xml:space="preserve"> Федерального закона от 27 июля 2010 года № 210-ФЗ «Об организации предоставления государственных и муниципальных услуг»,</w:t>
      </w:r>
      <w:hyperlink r:id="rId13" w:tooltip="consultantplus://offline/ref=CEE453A2CB28F7102C0462F31B33AA6A9C8C2280D24A68D21CF93C35E31A9A64E61280BFFA1C2F1BBB4AE467f42CB" w:history="1">
        <w:r>
          <w:rPr>
            <w:rFonts w:ascii="PT Astra Serif" w:hAnsi="PT Astra Serif" w:cs="Times New Roman"/>
            <w:sz w:val="26"/>
            <w:szCs w:val="26"/>
          </w:rPr>
          <w:t xml:space="preserve"> подпунктом а)</w:t>
        </w:r>
      </w:hyperlink>
      <w:r/>
      <w:hyperlink r:id="rId14" w:tooltip="consultantplus://offline/ref=CEE453A2CB28F7102C0462F31B33AA6A9C8C2280D24A68D21CF93C35E31A9A64E61280BFFA1C2F1BBB4AE466f421B" w:history="1">
        <w:r>
          <w:rPr>
            <w:rFonts w:ascii="PT Astra Serif" w:hAnsi="PT Astra Serif" w:cs="Times New Roman"/>
            <w:sz w:val="26"/>
            <w:szCs w:val="26"/>
          </w:rPr>
          <w:t xml:space="preserve"> подпункта 7</w:t>
        </w:r>
      </w:hyperlink>
      <w:r>
        <w:rPr>
          <w:rFonts w:ascii="PT Astra Serif" w:hAnsi="PT Astra Serif" w:cs="Times New Roman"/>
          <w:sz w:val="26"/>
          <w:szCs w:val="26"/>
        </w:rPr>
        <w:t xml:space="preserve">) пункта 10 Положения о Департаменте лицензиро</w:t>
      </w:r>
      <w:r>
        <w:rPr>
          <w:rFonts w:ascii="PT Astra Serif" w:hAnsi="PT Astra Serif" w:cs="Times New Roman"/>
          <w:sz w:val="26"/>
          <w:szCs w:val="26"/>
        </w:rPr>
        <w:t xml:space="preserve">вания и регионального государственного контроля Томской области, утвержденного постановлением Губернатора Томской области от 11.02.2021 № 10 «Об утверждении Положения о Департаменте лицензирования и регионального государственного контроля Томской области».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>
        <w:rPr>
          <w:rFonts w:ascii="PT Astra Serif" w:hAnsi="PT Astra Serif"/>
          <w:bCs/>
          <w:sz w:val="26"/>
          <w:szCs w:val="26"/>
        </w:rPr>
        <w:t xml:space="preserve">Заявителями на предоставление государственной услуги в части предоставления лицензии, внесения изменений в реестр лицензий, прекращения действия лицензии являются</w:t>
      </w:r>
      <w:r>
        <w:rPr>
          <w:rFonts w:ascii="PT Astra Serif" w:hAnsi="PT Astra Serif"/>
          <w:sz w:val="26"/>
          <w:szCs w:val="26"/>
        </w:rPr>
        <w:t xml:space="preserve">  юридические лица и индивидуальные предприниматели, осуществляющие или имеющие намерение осуществлять деятельность по заготовке, хранению, переработке и реализации лома черных металлов, цветных металлов (лицензиаты, соискатели лицензий).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Заявителями на предоставление </w:t>
      </w:r>
      <w:r>
        <w:rPr>
          <w:rFonts w:ascii="PT Astra Serif" w:hAnsi="PT Astra Serif"/>
          <w:bCs/>
          <w:sz w:val="26"/>
          <w:szCs w:val="26"/>
        </w:rPr>
        <w:t xml:space="preserve">государственной услуги в части предоставления сведений о конкретной лицензии из реестра лицензий являются физические лица, индивидуальные предприниматели, юридические лица, обратившиеся за предоставлением сведений о конкретной лицензии из реестра лицензий.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 заявлением вправе обратиться представитель заявителя, действующий в силу полномочий, основанны</w:t>
      </w:r>
      <w:r>
        <w:rPr>
          <w:rFonts w:ascii="PT Astra Serif" w:hAnsi="PT Astra Serif"/>
          <w:sz w:val="26"/>
          <w:szCs w:val="26"/>
        </w:rPr>
        <w:t xml:space="preserve">х на оформленной в установленном законодательством Российской Федерации порядке доверенности, на основании федерального закона либо на основании акта, уполномоченного на то государственного органа или органа местного самоуправления (далее – представитель).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 Информацию по вопросам предоставления государственной услуги можно получить: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непосредственно в Департаменте лицензирования и регионального государственного контроля Томской области (далее – Департамент), расположенном по адресу: 634029, г. Томск, ул. Белинского, д. 15а;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42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на официальном сайте Департамента: </w:t>
      </w:r>
      <w:r>
        <w:rPr>
          <w:rFonts w:ascii="PT Astra Serif" w:hAnsi="PT Astra Serif"/>
          <w:sz w:val="26"/>
          <w:szCs w:val="26"/>
        </w:rPr>
        <w:t xml:space="preserve">https://</w:t>
      </w:r>
      <w:r>
        <w:rPr>
          <w:rFonts w:ascii="PT Astra Serif" w:hAnsi="PT Astra Serif"/>
          <w:sz w:val="26"/>
          <w:szCs w:val="26"/>
          <w:lang w:val="en-US"/>
        </w:rPr>
        <w:t xml:space="preserve">d</w:t>
      </w:r>
      <w:r>
        <w:rPr>
          <w:rFonts w:ascii="PT Astra Serif" w:hAnsi="PT Astra Serif"/>
          <w:sz w:val="26"/>
          <w:szCs w:val="26"/>
        </w:rPr>
        <w:t xml:space="preserve">lk.tomsk.gov.ru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;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42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5" w:tooltip="mailto:info@palata.tomsk.ru" w:history="1">
        <w:r>
          <w:rPr>
            <w:rStyle w:val="862"/>
            <w:rFonts w:ascii="PT Astra Serif" w:hAnsi="PT Astra Serif"/>
            <w:color w:val="auto"/>
            <w:sz w:val="26"/>
            <w:szCs w:val="26"/>
            <w:u w:val="none"/>
            <w:lang w:val="en-US" w:eastAsia="ru-RU"/>
          </w:rPr>
          <w:t xml:space="preserve">info</w:t>
        </w:r>
        <w:r>
          <w:rPr>
            <w:rStyle w:val="862"/>
            <w:rFonts w:ascii="PT Astra Serif" w:hAnsi="PT Astra Serif"/>
            <w:color w:val="auto"/>
            <w:sz w:val="26"/>
            <w:szCs w:val="26"/>
            <w:u w:val="none"/>
            <w:lang w:eastAsia="ru-RU"/>
          </w:rPr>
          <w:t xml:space="preserve">@palata.tomsk.ru</w:t>
        </w:r>
      </w:hyperlink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;</w:t>
      </w:r>
      <w:r/>
    </w:p>
    <w:p>
      <w:pPr>
        <w:contextualSpacing/>
        <w:ind w:firstLine="709"/>
        <w:jc w:val="both"/>
        <w:tabs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посредством использования Федеральной государственной информационной системы «Единый портал государственных и муниципальных услуг (функций)» (далее – ЕПГУ) по адресу: </w:t>
      </w:r>
      <w:hyperlink r:id="rId16" w:tooltip="http://www.gosuslugi.ru" w:history="1">
        <w:r>
          <w:rPr>
            <w:rFonts w:ascii="PT Astra Serif" w:hAnsi="PT Astra Serif"/>
            <w:sz w:val="26"/>
            <w:szCs w:val="26"/>
          </w:rPr>
          <w:t xml:space="preserve">http://www.gosuslugi.ru</w:t>
        </w:r>
      </w:hyperlink>
      <w:r>
        <w:rPr>
          <w:rFonts w:ascii="PT Astra Serif" w:hAnsi="PT Astra Serif"/>
          <w:sz w:val="26"/>
          <w:szCs w:val="26"/>
        </w:rPr>
        <w:t xml:space="preserve">;</w:t>
      </w:r>
      <w:r/>
    </w:p>
    <w:p>
      <w:pPr>
        <w:ind w:firstLine="709"/>
        <w:jc w:val="both"/>
        <w:tabs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телефонам: 8</w:t>
      </w:r>
      <w:r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sz w:val="26"/>
          <w:szCs w:val="26"/>
        </w:rPr>
        <w:t xml:space="preserve">– Комитет лицензионно-разрешительной деятельности Департамента;</w:t>
      </w:r>
      <w:r/>
    </w:p>
    <w:p>
      <w:pPr>
        <w:ind w:firstLine="709"/>
        <w:jc w:val="both"/>
        <w:tabs>
          <w:tab w:val="left" w:pos="426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 обращении в областное государственное казенное учреждение «Томский областной многофункцион</w:t>
      </w:r>
      <w:r>
        <w:rPr>
          <w:rFonts w:ascii="PT Astra Serif" w:hAnsi="PT Astra Serif"/>
          <w:sz w:val="26"/>
          <w:szCs w:val="26"/>
        </w:rPr>
        <w:t xml:space="preserve">альный центр по предоставлению государственных и муниципальных услуг» (далее - МФЦ) (в случае заключения соглашения о взаимодействии. Информация о наличии соглашения о взаимодействии между Департаментом и МФЦ размещается на официальном сайте Департамента).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информация о порядке предоставления государственной услуги;</w:t>
      </w:r>
      <w:r/>
    </w:p>
    <w:p>
      <w:pPr>
        <w:pStyle w:val="722"/>
        <w:ind w:left="0" w:firstLine="709"/>
        <w:jc w:val="both"/>
        <w:spacing w:after="0" w:line="240" w:lineRule="auto"/>
        <w:widowControl w:val="off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месторасположение, график работы, номера телефонов и адрес электронной почты Департамента;</w:t>
      </w:r>
      <w:r/>
    </w:p>
    <w:p>
      <w:pPr>
        <w:pStyle w:val="886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порядок обжалования решений и действий (бездействия) Департамента, а также должностных лиц Департамента, государственных служащих Департамента, МФЦ</w:t>
      </w:r>
      <w:r>
        <w:rPr>
          <w:rFonts w:ascii="PT Astra Serif" w:hAnsi="PT Astra Serif" w:cs="Times New Roman"/>
          <w:sz w:val="26"/>
          <w:szCs w:val="26"/>
        </w:rPr>
        <w:t xml:space="preserve">, работников МФЦ.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6. Письменное</w:t>
      </w:r>
      <w:r>
        <w:rPr>
          <w:rFonts w:ascii="PT Astra Serif" w:hAnsi="PT Astra Serif"/>
          <w:sz w:val="26"/>
          <w:szCs w:val="26"/>
        </w:rPr>
        <w:t xml:space="preserve"> обращение по вопросам исполнения настоящего Административного регламента регистрируется в день поступления и рассматривается  специалистом Комитета лицензионно-разрешительной деятельности Департамента (далее – специалист комитета) в течение тридцати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регистрации письменного обращения по вопросам исполнения настоящего Административного регламента, если иное не предусмотрено законодательством Российской Федерации.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Консультирование осуществляется по следующим вопросам: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содержание и ход предоставления государственной услуги;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время приема документов;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срок принятия решения о предоставлении государственной услуги;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порядок обжалования решений и действий (бездействия) Департамента, а также уполномоченных должностных лиц Департамента, государственных служащих Департамента, МФЦ, работников МФЦ.</w:t>
      </w:r>
      <w:r/>
    </w:p>
    <w:p>
      <w:pPr>
        <w:ind w:left="90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22"/>
        <w:ind w:left="0"/>
        <w:jc w:val="center"/>
        <w:spacing w:after="0" w:line="240" w:lineRule="auto"/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2. Стандарт предоставления государственной услуги</w:t>
      </w:r>
      <w:r/>
    </w:p>
    <w:p>
      <w:pPr>
        <w:pStyle w:val="890"/>
        <w:jc w:val="center"/>
        <w:rPr>
          <w:rFonts w:ascii="PT Astra Serif" w:hAnsi="PT Astra Serif"/>
          <w:b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</w:r>
      <w:r/>
    </w:p>
    <w:p>
      <w:pPr>
        <w:pStyle w:val="890"/>
        <w:jc w:val="center"/>
        <w:rPr>
          <w:rFonts w:ascii="PT Astra Serif" w:hAnsi="PT Astra Serif"/>
          <w:b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  <w:t xml:space="preserve">Наименование государственной услуги</w:t>
      </w:r>
      <w:r/>
    </w:p>
    <w:p>
      <w:pPr>
        <w:pStyle w:val="890"/>
        <w:jc w:val="center"/>
        <w:rPr>
          <w:rFonts w:ascii="PT Astra Serif" w:hAnsi="PT Astra Serif"/>
          <w:b w:val="0"/>
          <w:bCs w:val="0"/>
          <w:sz w:val="26"/>
          <w:szCs w:val="26"/>
        </w:rPr>
        <w:outlineLvl w:val="2"/>
      </w:pPr>
      <w:r>
        <w:rPr>
          <w:rFonts w:ascii="PT Astra Serif" w:hAnsi="PT Astra Serif"/>
          <w:b w:val="0"/>
          <w:bCs w:val="0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Наименование государственной услуги - лицензирование деятельности по заготовке, хранению, переработке и реализации лома черных металлов, цветных металлов.</w:t>
      </w:r>
      <w:r/>
    </w:p>
    <w:p>
      <w:pPr>
        <w:pStyle w:val="890"/>
        <w:jc w:val="center"/>
        <w:rPr>
          <w:rFonts w:ascii="PT Astra Serif" w:hAnsi="PT Astra Serif"/>
          <w:b w:val="0"/>
          <w:bCs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  <w:t xml:space="preserve">Наименование органа, предоставляющего</w:t>
      </w:r>
      <w:r/>
    </w:p>
    <w:p>
      <w:pPr>
        <w:pStyle w:val="890"/>
        <w:jc w:val="center"/>
        <w:rPr>
          <w:rFonts w:ascii="PT Astra Serif" w:hAnsi="PT Astra Serif"/>
          <w:b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 xml:space="preserve">государственную услугу</w:t>
      </w:r>
      <w:r/>
    </w:p>
    <w:p>
      <w:pPr>
        <w:pStyle w:val="890"/>
        <w:jc w:val="center"/>
        <w:rPr>
          <w:rFonts w:ascii="PT Astra Serif" w:hAnsi="PT Astra Serif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bCs w:val="0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Государственная услуга предоставляется Департаментом лицензирования и регионального государственного контроля Томской области.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86"/>
        <w:ind w:firstLine="709"/>
        <w:jc w:val="center"/>
        <w:rPr>
          <w:rFonts w:ascii="PT Astra Serif" w:hAnsi="PT Astra Serif"/>
          <w:bCs/>
          <w:sz w:val="26"/>
          <w:szCs w:val="26"/>
        </w:rPr>
      </w:pPr>
      <w:r/>
      <w:bookmarkStart w:id="3" w:name="_Hlk212108272"/>
      <w:r>
        <w:rPr>
          <w:rFonts w:ascii="PT Astra Serif" w:hAnsi="PT Astra Serif"/>
          <w:sz w:val="26"/>
          <w:szCs w:val="26"/>
        </w:rPr>
        <w:t xml:space="preserve">Результат предоставления государственной услуги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10. Результатом предоставления государственной услуги является:</w:t>
      </w:r>
      <w:r/>
    </w:p>
    <w:p>
      <w:pPr>
        <w:ind w:firstLine="709"/>
        <w:jc w:val="both"/>
        <w:tabs>
          <w:tab w:val="left" w:pos="828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предоставление лицензии на осуществление деятельности по заготовке, хранению, переработке и реализации лома черных металлов, цветных металлов (далее – лицензия); </w:t>
      </w:r>
      <w:r/>
    </w:p>
    <w:p>
      <w:pPr>
        <w:pStyle w:val="886"/>
        <w:ind w:firstLine="709"/>
        <w:jc w:val="both"/>
        <w:rPr>
          <w:rFonts w:ascii="PT Astra Serif" w:hAnsi="PT Astra Serif" w:eastAsia="Batang"/>
          <w:sz w:val="26"/>
          <w:szCs w:val="26"/>
        </w:rPr>
      </w:pPr>
      <w:r>
        <w:rPr>
          <w:rFonts w:ascii="PT Astra Serif" w:hAnsi="PT Astra Serif" w:eastAsia="Batang"/>
          <w:sz w:val="26"/>
          <w:szCs w:val="26"/>
        </w:rPr>
        <w:t xml:space="preserve">2) внесение изменений в реестр лицензий;</w:t>
      </w:r>
      <w:r/>
    </w:p>
    <w:p>
      <w:pPr>
        <w:pStyle w:val="886"/>
        <w:ind w:firstLine="709"/>
        <w:jc w:val="both"/>
        <w:rPr>
          <w:rFonts w:ascii="PT Astra Serif" w:hAnsi="PT Astra Serif" w:eastAsia="Batang"/>
          <w:sz w:val="26"/>
          <w:szCs w:val="26"/>
        </w:rPr>
      </w:pPr>
      <w:r>
        <w:rPr>
          <w:rFonts w:ascii="PT Astra Serif" w:hAnsi="PT Astra Serif" w:eastAsia="Batang"/>
          <w:sz w:val="26"/>
          <w:szCs w:val="26"/>
        </w:rPr>
        <w:t xml:space="preserve">3) прекращение действия лицензии на основании заявления лицензиата;</w:t>
      </w:r>
      <w:r/>
    </w:p>
    <w:p>
      <w:pPr>
        <w:pStyle w:val="886"/>
        <w:ind w:firstLine="709"/>
        <w:jc w:val="both"/>
        <w:rPr>
          <w:rFonts w:ascii="PT Astra Serif" w:hAnsi="PT Astra Serif" w:eastAsia="Batang"/>
          <w:sz w:val="26"/>
          <w:szCs w:val="26"/>
        </w:rPr>
      </w:pPr>
      <w:r>
        <w:rPr>
          <w:rFonts w:ascii="PT Astra Serif" w:hAnsi="PT Astra Serif" w:eastAsia="Batang"/>
          <w:sz w:val="26"/>
          <w:szCs w:val="26"/>
        </w:rPr>
        <w:t xml:space="preserve">4) отказ во внесении изменений в реестр лицензий;</w:t>
      </w:r>
      <w:r/>
    </w:p>
    <w:p>
      <w:pPr>
        <w:pStyle w:val="886"/>
        <w:ind w:firstLine="709"/>
        <w:jc w:val="both"/>
        <w:rPr>
          <w:rFonts w:ascii="PT Astra Serif" w:hAnsi="PT Astra Serif" w:eastAsia="Batang"/>
          <w:sz w:val="26"/>
          <w:szCs w:val="26"/>
        </w:rPr>
      </w:pPr>
      <w:r>
        <w:rPr>
          <w:rFonts w:ascii="PT Astra Serif" w:hAnsi="PT Astra Serif" w:eastAsia="Batang"/>
          <w:sz w:val="26"/>
          <w:szCs w:val="26"/>
        </w:rPr>
        <w:t xml:space="preserve">5) отказ в предоставлении лицензии;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6) предоставление выписки из реестра лицензий;</w:t>
      </w:r>
      <w:r/>
    </w:p>
    <w:p>
      <w:pPr>
        <w:pStyle w:val="896"/>
        <w:ind w:firstLine="709"/>
        <w:jc w:val="both"/>
        <w:spacing w:before="0" w:beforeAutospacing="0" w:after="0" w:afterAutospacing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предоставление справки об отсутствии запрашиваемых сведений.</w:t>
      </w:r>
      <w:r/>
    </w:p>
    <w:p>
      <w:pPr>
        <w:ind w:firstLine="72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11. Решение о предоставлении государственной услуги или об отказе в предоставлении государственной услуги может быть:</w:t>
      </w:r>
      <w:r/>
    </w:p>
    <w:p>
      <w:pPr>
        <w:ind w:firstLine="720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1) направлено в форме электронного документа, подписанного усиленной квалифицированной электронной подписью, на адрес электронной почты, указанный заявителем в заявлении о предоставлении государственной услуги;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2) направлено в форме электронного документа, подписанного усиленной квалифицированной электронной подписью, в «личный кабинет» заявителя на ЕПГУ.</w:t>
      </w:r>
      <w:r/>
    </w:p>
    <w:p>
      <w:pPr>
        <w:ind w:firstLine="709"/>
        <w:jc w:val="both"/>
        <w:rPr>
          <w:rFonts w:ascii="PT Astra Serif" w:hAnsi="PT Astra Serif" w:eastAsia="PT Astra Serif" w:cs="PT Astra Serif"/>
          <w:bCs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Решение о предоставлении государственной услуги или об отказе в предоставлении государственной услуги направляется заявителю тем же способом, которым заявитель представил в лицензирующий орган заявление о предоставлении государственной услуги</w:t>
      </w:r>
      <w:r>
        <w:rPr>
          <w:rFonts w:ascii="PT Astra Serif" w:hAnsi="PT Astra Serif" w:eastAsia="PT Astra Serif" w:cs="PT Astra Serif"/>
          <w:bCs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Формирование реестровой записи в качестве результата предоставления государственной услуги не предусмотрено.</w:t>
      </w:r>
      <w:r/>
    </w:p>
    <w:p>
      <w:pPr>
        <w:ind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</w:r>
      <w:bookmarkEnd w:id="3"/>
      <w:r/>
    </w:p>
    <w:p>
      <w:pPr>
        <w:pStyle w:val="890"/>
        <w:jc w:val="center"/>
        <w:rPr>
          <w:rFonts w:ascii="PT Astra Serif" w:hAnsi="PT Astra Serif"/>
          <w:b w:val="0"/>
          <w:bCs w:val="0"/>
          <w:sz w:val="26"/>
          <w:szCs w:val="26"/>
        </w:rPr>
        <w:outlineLvl w:val="2"/>
      </w:pPr>
      <w:r>
        <w:rPr>
          <w:rFonts w:ascii="PT Astra Serif" w:hAnsi="PT Astra Serif"/>
          <w:b w:val="0"/>
          <w:sz w:val="26"/>
          <w:szCs w:val="26"/>
        </w:rPr>
        <w:t xml:space="preserve">Срок предоставления государственной услуги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12. Срок предоставления государственной услуги составляет: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1) 7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лицензии и прилагаемых к заявлению о предоставлении лицензии документов,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предусмотренных пунктом 25 настоящего Административного регламента</w:t>
      </w:r>
      <w:r>
        <w:rPr>
          <w:rFonts w:ascii="PT Astra Serif" w:hAnsi="PT Astra Serif"/>
          <w:sz w:val="26"/>
          <w:szCs w:val="26"/>
        </w:rPr>
        <w:t xml:space="preserve"> - в случае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2) 10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лицензии и прилагаемых к заявлению о предоставлении лицензии документов,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предусмотренных пунктом 25 настоящего Административного регламента</w:t>
      </w:r>
      <w:r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лицензии лицензионным требованиям в форме выездной оценки с использованием средств дистанционного взаимодействия; 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3) 15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лицензии и прилагаемых к заявлению о предоставлении лицензии документов,</w:t>
      </w:r>
      <w:r>
        <w:rPr>
          <w:rFonts w:ascii="PT Astra Serif" w:hAnsi="PT Astra Serif" w:cs="PT Astra Serif"/>
          <w:sz w:val="26"/>
          <w:szCs w:val="26"/>
        </w:rPr>
        <w:t xml:space="preserve"> предусмотренных пунктом 25 настоящего Административного регламента</w:t>
      </w:r>
      <w:r>
        <w:rPr>
          <w:rFonts w:ascii="PT Astra Serif" w:hAnsi="PT Astra Serif"/>
          <w:sz w:val="26"/>
          <w:szCs w:val="26"/>
        </w:rPr>
        <w:t xml:space="preserve"> - в случае невозможности проведения оценки соответствия соискателя лицен</w:t>
      </w:r>
      <w:r>
        <w:rPr>
          <w:rFonts w:ascii="PT Astra Serif" w:hAnsi="PT Astra Serif"/>
          <w:sz w:val="26"/>
          <w:szCs w:val="26"/>
        </w:rPr>
        <w:t xml:space="preserve">зии лицензионным требованиям в форме выездной оценки с использованием средств дистанционного взаимодействия при наличии в заявлении о предоставлении лицензии 5 и более адресов, по которым соискатель лицензии намерен осуществлять лицензируемую деятельность;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/>
          <w:sz w:val="26"/>
          <w:szCs w:val="26"/>
        </w:rPr>
        <w:t xml:space="preserve">4</w:t>
      </w:r>
      <w:r>
        <w:rPr>
          <w:rFonts w:ascii="PT Astra Serif" w:hAnsi="PT Astra Serif" w:cs="PT Astra Serif"/>
          <w:sz w:val="26"/>
          <w:szCs w:val="26"/>
        </w:rPr>
        <w:t xml:space="preserve">) 7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заявления о внесении изменений в реестр лицензий и прилагаемых к заявлению о внесении изменений в реестр лицензий документов, предусмотренных пунктом 26 настоящего Административного регламента - </w:t>
      </w:r>
      <w:r>
        <w:rPr>
          <w:rFonts w:ascii="PT Astra Serif" w:hAnsi="PT Astra Serif" w:cs="PT Astra Serif"/>
          <w:sz w:val="26"/>
          <w:szCs w:val="26"/>
        </w:rPr>
        <w:t xml:space="preserve">в случае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6"/>
          <w:szCs w:val="26"/>
        </w:rPr>
        <w:t xml:space="preserve">5) 10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заявления о внесении изменений в реестр лицензий и прилагаемых к заявлению о внесении изменений в реестр лице</w:t>
      </w:r>
      <w:r>
        <w:rPr>
          <w:rFonts w:ascii="PT Astra Serif" w:hAnsi="PT Astra Serif" w:cs="PT Astra Serif"/>
          <w:sz w:val="26"/>
          <w:szCs w:val="26"/>
        </w:rPr>
        <w:t xml:space="preserve">нзий документов, предусмотренных пунктом 26 настоящего Административного регламента - в случае невозможности проведения оценки соответствия лицензиата лицензионным требованиям в форме выездной оценки с использованием средств дистанционного взаимодействия;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6"/>
          <w:szCs w:val="26"/>
        </w:rPr>
        <w:t xml:space="preserve">6) 15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заявления о внесени</w:t>
      </w:r>
      <w:r>
        <w:rPr>
          <w:rFonts w:ascii="PT Astra Serif" w:hAnsi="PT Astra Serif" w:cs="PT Astra Serif"/>
          <w:sz w:val="26"/>
          <w:szCs w:val="26"/>
        </w:rPr>
        <w:t xml:space="preserve">и изменений в реестр лицензий и прилагаемых к заявлению о внесении изменений в реестр лицензий документов, предусмотренных пунктом 26 настоящего Административного регламента - в случае невозможности проведения оценки соответствия лицензиата лицензионным тр</w:t>
      </w:r>
      <w:r>
        <w:rPr>
          <w:rFonts w:ascii="PT Astra Serif" w:hAnsi="PT Astra Serif" w:cs="PT Astra Serif"/>
          <w:sz w:val="26"/>
          <w:szCs w:val="26"/>
        </w:rPr>
        <w:t xml:space="preserve">ебованиям в форме выездной оценки с использованием средств дистанционного взаимодействия при наличии в заявлении о внесении изменений в реестр лицензий 5 и более новых адресов, по которым соискатель лицензии намерен осуществлять лицензируемую деятельность;</w:t>
      </w:r>
      <w:r/>
    </w:p>
    <w:p>
      <w:pPr>
        <w:pStyle w:val="89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7) 10 рабочих дней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прекращении лицензируемого вида деятельности;</w:t>
      </w:r>
      <w:r/>
    </w:p>
    <w:p>
      <w:pPr>
        <w:pStyle w:val="894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8) 3 рабочих дня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сведений о конкретной лицензии из реестра лицензий.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В указанный в настоящем пункте Ад</w:t>
      </w:r>
      <w:r>
        <w:rPr>
          <w:rFonts w:ascii="PT Astra Serif" w:hAnsi="PT Astra Serif"/>
          <w:bCs/>
          <w:sz w:val="26"/>
          <w:szCs w:val="26"/>
        </w:rPr>
        <w:t xml:space="preserve">министративного регламента срок не входит срок, предоставляемый Департаментом заявителю для устранения нарушений в оформлении заявления о предоставлении лицензии или заявления о внесении изменений в реестр лицензий и (или) для восполнения документов, необх</w:t>
      </w:r>
      <w:r>
        <w:rPr>
          <w:rFonts w:ascii="PT Astra Serif" w:hAnsi="PT Astra Serif"/>
          <w:bCs/>
          <w:sz w:val="26"/>
          <w:szCs w:val="26"/>
        </w:rPr>
        <w:t xml:space="preserve">одимых для предоставления лицензии в соответствии с пунктом 25 настоящего Административного регламента, или для восполнения документов, необходимых для внесения сведений в реестр лицензий в соответствии с пунктом 26 настоящего Административного регламента.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4" w:name="Par112"/>
      <w:r/>
      <w:bookmarkEnd w:id="4"/>
      <w:r>
        <w:rPr>
          <w:rFonts w:ascii="PT Astra Serif" w:hAnsi="PT Astra Serif"/>
          <w:sz w:val="26"/>
          <w:szCs w:val="26"/>
        </w:rPr>
        <w:t xml:space="preserve">13. В случаях, предусмотренных частями 8, 8.1, 9  статьи 13 </w:t>
      </w:r>
      <w:r>
        <w:rPr>
          <w:rFonts w:ascii="PT Astra Serif" w:hAnsi="PT Astra Serif"/>
          <w:bCs/>
          <w:sz w:val="26"/>
          <w:szCs w:val="26"/>
        </w:rPr>
        <w:t xml:space="preserve">Федерального закона от 4 мая 2011 года № 99-ФЗ «О лицензировании отдельных видов деятельности» (далее – Федеральный  закон № 99-ФЗ),</w:t>
      </w:r>
      <w:r>
        <w:rPr>
          <w:rFonts w:ascii="PT Astra Serif" w:hAnsi="PT Astra Serif"/>
          <w:sz w:val="26"/>
          <w:szCs w:val="26"/>
        </w:rPr>
        <w:t xml:space="preserve"> срок принятия Департаментом решения о предоставлении лицензии или об отказе в предоставлении лицензии исчисляется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предоставлении лицензии и прилагаемых к заявлению о предоставлении лицензии документов, соответствующих требованиям пункта 25 настоящего Административного регламента. 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14. В случаях, предусмотренных частями 12, 12.1, 14 статьи 18 Федерального закона № 99-ФЗ, срок принятия Департаментом решения о внесении изменений в реестр лицензий или об отказе во внесении изменений в реестр лицензий исчисляется </w:t>
      </w:r>
      <w:r>
        <w:rPr>
          <w:rFonts w:ascii="PT Astra Serif" w:hAnsi="PT Astra Serif" w:eastAsia="PT Astra Serif"/>
          <w:bCs/>
          <w:sz w:val="26"/>
          <w:szCs w:val="26"/>
        </w:rPr>
        <w:t xml:space="preserve">со дня приема </w:t>
      </w:r>
      <w:r>
        <w:rPr>
          <w:rFonts w:ascii="PT Astra Serif" w:hAnsi="PT Astra Serif"/>
          <w:sz w:val="26"/>
          <w:szCs w:val="26"/>
        </w:rPr>
        <w:t xml:space="preserve">Департаментом заявления о внесении изменений в реестр лицензий и прилагаемых заявлению о внесении сведений в реестр лицензий документов, соответствующих требованиям пункта 26 настоящего Административного регламента. 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Размер платы, взимаемой с заявителя при предоставлении государственной услуги,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 способы ее взимания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15. </w:t>
      </w:r>
      <w:r>
        <w:rPr>
          <w:rFonts w:ascii="PT Astra Serif" w:hAnsi="PT Astra Serif" w:cs="PT Astra Serif"/>
          <w:sz w:val="26"/>
          <w:szCs w:val="26"/>
        </w:rPr>
        <w:t xml:space="preserve">За предоставление лицензии, внесение изменений в реестр лицензий в соответствии со </w:t>
      </w:r>
      <w:hyperlink r:id="rId17" w:tooltip="consultantplus://offline/ref=E6253F76ECBDE74FDB2F867513BE2A51D3C727D48C59EBC721662C24D5ACCA2686002373656CC62D026FF3EC67E44650856FD44451W658J" w:history="1">
        <w:r>
          <w:rPr>
            <w:rFonts w:ascii="PT Astra Serif" w:hAnsi="PT Astra Serif" w:cs="PT Astra Serif"/>
            <w:sz w:val="26"/>
            <w:szCs w:val="26"/>
          </w:rPr>
          <w:t xml:space="preserve">статьей 18</w:t>
        </w:r>
      </w:hyperlink>
      <w:r>
        <w:rPr>
          <w:rFonts w:ascii="PT Astra Serif" w:hAnsi="PT Astra Serif" w:cs="PT Astra Serif"/>
          <w:sz w:val="26"/>
          <w:szCs w:val="26"/>
        </w:rPr>
        <w:t xml:space="preserve"> Федерального закона </w:t>
      </w:r>
      <w:r>
        <w:rPr>
          <w:rFonts w:ascii="PT Astra Serif" w:hAnsi="PT Astra Serif"/>
          <w:sz w:val="26"/>
          <w:szCs w:val="26"/>
        </w:rPr>
        <w:t xml:space="preserve">№ 99-ФЗ </w:t>
      </w:r>
      <w:r>
        <w:rPr>
          <w:rFonts w:ascii="PT Astra Serif" w:hAnsi="PT Astra Serif" w:cs="PT Astra Serif"/>
          <w:sz w:val="26"/>
          <w:szCs w:val="26"/>
        </w:rPr>
        <w:t xml:space="preserve">уплачивается государственная пошлина в </w:t>
      </w:r>
      <w:hyperlink r:id="rId18" w:tooltip="consultantplus://offline/ref=E6253F76ECBDE74FDB2F867513BE2A51D4CE21D4805CEBC721662C24D5ACCA2686002373676DC47B587FF7A530E85A519971D45A516A29WB51J" w:history="1">
        <w:r>
          <w:rPr>
            <w:rFonts w:ascii="PT Astra Serif" w:hAnsi="PT Astra Serif" w:cs="PT Astra Serif"/>
            <w:sz w:val="26"/>
            <w:szCs w:val="26"/>
          </w:rPr>
          <w:t xml:space="preserve">размерах</w:t>
        </w:r>
      </w:hyperlink>
      <w:r>
        <w:rPr>
          <w:rFonts w:ascii="PT Astra Serif" w:hAnsi="PT Astra Serif" w:cs="PT Astra Serif"/>
          <w:sz w:val="26"/>
          <w:szCs w:val="26"/>
        </w:rPr>
        <w:t xml:space="preserve"> и порядке, которые установлены Налоговым кодексом Российской Федерации. Государственная пошлина за внесение изменений в реестр лицензий не уплачивается, если внесение изменений в реестр лицензий в случаях, предусмотренных Федеральным </w:t>
      </w:r>
      <w:hyperlink r:id="rId19" w:tooltip="consultantplus://offline/ref=E6253F76ECBDE74FDB2F867513BE2A51D3C727D48C59EBC721662C24D5ACCA26860023736461C62D026FF3EC67E44650856FD44451W658J" w:history="1">
        <w:r>
          <w:rPr>
            <w:rFonts w:ascii="PT Astra Serif" w:hAnsi="PT Astra Serif" w:cs="PT Astra Serif"/>
            <w:sz w:val="26"/>
            <w:szCs w:val="26"/>
          </w:rPr>
          <w:t xml:space="preserve">законом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№ 99-ФЗ, осуществляется заявителем самостоятельно.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Выписка из реестра лицензий в форме электронного документа, подписанного усиленной квалифицированной электронной подписью, либо копия акта Департамента о принятом решении либо </w:t>
      </w:r>
      <w:bookmarkStart w:id="5" w:name="_Hlk212108246"/>
      <w:r>
        <w:rPr>
          <w:rFonts w:ascii="PT Astra Serif" w:hAnsi="PT Astra Serif" w:cs="PT Astra Serif"/>
          <w:sz w:val="26"/>
          <w:szCs w:val="26"/>
        </w:rPr>
        <w:t xml:space="preserve">справка об отсутствии запрашиваемых сведений</w:t>
      </w:r>
      <w:bookmarkEnd w:id="5"/>
      <w:r>
        <w:rPr>
          <w:rFonts w:ascii="PT Astra Serif" w:hAnsi="PT Astra Serif" w:cs="PT Astra Serif"/>
          <w:sz w:val="26"/>
          <w:szCs w:val="26"/>
        </w:rPr>
        <w:t xml:space="preserve">, которая выдается в случае отсутствия в реестре лицензий сведений о лицензиях или при невозможности определения конкретного лицензиата, предоставляется без взимания платы. 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Согласно абзацу второму пункта 9 постановления Правительства Российской Федерации от 12.03.2022 № 353 «Об особенностях разрешительной</w:t>
      </w:r>
      <w:r>
        <w:rPr>
          <w:rFonts w:ascii="PT Astra Serif" w:hAnsi="PT Astra Serif" w:cs="PT Astra Serif"/>
          <w:sz w:val="26"/>
          <w:szCs w:val="26"/>
        </w:rPr>
        <w:t xml:space="preserve"> деятельности в Российской Федерации» оплата государственных пошлин за предоставление лицензии, внесение изменений в реестр лицензий по заявлениям о предоставлении государственной услуги, поданным с 1 января 2024 года по 31 декабря 2029 года, не требуется.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Сведения о размере государственной пошлины размещаются на ЕПГУ.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Срок регистрации запроса заявителя о предоставлении государственной услуги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16. Срок регистрации запроса о предоставлении государственной услуги составляет один рабочий день со дня поступления </w:t>
      </w:r>
      <w:r>
        <w:rPr>
          <w:rFonts w:ascii="PT Astra Serif" w:hAnsi="PT Astra Serif"/>
          <w:bCs/>
          <w:sz w:val="26"/>
          <w:szCs w:val="26"/>
        </w:rPr>
        <w:t xml:space="preserve">запроса о предоставлении государственной услуги </w:t>
      </w:r>
      <w:r>
        <w:rPr>
          <w:rFonts w:ascii="PT Astra Serif" w:hAnsi="PT Astra Serif" w:cs="PT Astra Serif"/>
          <w:sz w:val="26"/>
          <w:szCs w:val="26"/>
        </w:rPr>
        <w:t xml:space="preserve">в Департамент.</w:t>
      </w:r>
      <w: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В случае поступления запроса в электронной форме, в выходной или нерабочий день запрос регистрируется в следующий за ним рабочий день.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jc w:val="center"/>
        <w:tabs>
          <w:tab w:val="left" w:pos="126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Требования к помещениям, в которых предоставляется государственная услуга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17. Здание, в котором располагается Департамент, должно находиться в пешеходной доступности от остановок общественного транспорта.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Здание, в котором расположен Департамент, должно быть оборудовано отдельным входом для свободного доступа заявителей в помещение.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Центральный вход в здание, в котором расположен Департамент должен быть оборудован информационной табличкой (вывеской) о наименовании Департамента.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18. Присутственные места включают места для информирования, приема заявителей.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У входа в каждое из помещений размещается табличка с номером помещения.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Помещения Департамента должны соответствовать санитарно-эпидемиологическим правилам и нормативам.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Помещения оборудуются противопожарной системой.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Департамент обеспечивает доступ инвалидов в помещения д</w:t>
      </w:r>
      <w:r>
        <w:rPr>
          <w:rFonts w:ascii="PT Astra Serif" w:hAnsi="PT Astra Serif"/>
          <w:bCs/>
          <w:sz w:val="26"/>
          <w:szCs w:val="26"/>
        </w:rPr>
        <w:t xml:space="preserve">ля приема заявления о предоставлении выписки из реестра лицензий, в залы ожидания, к местам для заполнения заявлений, к информационным стендам с образцами их заполнения, в соответствии с законодательством Российской Федерации о социальной защите инвалидов.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19.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20. Места для заполнения документов оборудуются стульями, столами и обеспечиваются образцами заполнения документов, бланками заявлений и канцелярскими принадлежностями.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21.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(банкетками).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Сведения о требованиях, которым должны соответствовать помещения, в которых предоставляется государственная услуга, размещаются на официальном сайте Департамента и на ЕПГУ.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/>
    </w:p>
    <w:p>
      <w:pPr>
        <w:pStyle w:val="722"/>
        <w:ind w:left="0"/>
        <w:jc w:val="center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Показатели доступности и качества государственной услуги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22. Показателями доступности и качества государственной услуги являются: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1) установленный режим работы Департамента не препятствует получению государственной услуги заявителями;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2) открытый </w:t>
      </w:r>
      <w:r>
        <w:rPr>
          <w:rFonts w:ascii="PT Astra Serif" w:hAnsi="PT Astra Serif"/>
          <w:bCs/>
          <w:sz w:val="26"/>
          <w:szCs w:val="26"/>
        </w:rPr>
        <w:t xml:space="preserve">доступ к информации о порядке и сроках предоставления государственной услуги, порядке обжалования решений, действий (бездействия) Департамента, а также уполномоченных должностных лиц Департамента, государственных служащих Департамента, МФЦ, работников МФЦ;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3) соблюдение стандарта предоставления государственной услуги;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4) отсутствие обоснованных жалоб заявителя, иных лиц на решения, действия (бездействие) Департамента, а также уполномоченных должностных лиц Департамента, государственных служащих Департамента, МФЦ, работников МФЦ при предоставлении государственной услуги;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5) возможность представления заявителем заявления о предоставлении государственной услуги и </w:t>
      </w:r>
      <w:r>
        <w:rPr>
          <w:rFonts w:ascii="PT Astra Serif" w:hAnsi="PT Astra Serif"/>
          <w:bCs/>
          <w:sz w:val="26"/>
          <w:szCs w:val="26"/>
        </w:rPr>
        <w:t xml:space="preserve">(или) прилагаемых к заявлению о предоставлении государственной услуги документов в форме электронного документа, подписанного электронной подписью, через информационно-телекоммуникационные сети общего пользования, в том числе сеть «Интернет», включая ЕПГУ;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6) предоставление государственной услуги в части прекращения действия лицензии, получения сведений о конкретной лицензии через МФЦ.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23. Для обеспечения возможности подачи заявления о предоставлении государственной услуги и (или) прилагаемых к заявлению о предоставлении государственной услуги документов в электронной форме через ЕПГУ заявитель должен быть зарегистрирован в системе ЕПГУ.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 направлении заявления и документов, указанных в пунктах 2</w:t>
      </w:r>
      <w:hyperlink w:tooltip="#P126" w:anchor="P126" w:history="1">
        <w:r>
          <w:rPr>
            <w:rFonts w:ascii="PT Astra Serif" w:hAnsi="PT Astra Serif" w:cs="PT Astra Serif"/>
            <w:sz w:val="26"/>
            <w:szCs w:val="26"/>
          </w:rPr>
          <w:t xml:space="preserve">5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w:tooltip="#P143" w:anchor="P143" w:history="1">
        <w:r>
          <w:rPr>
            <w:rFonts w:ascii="PT Astra Serif" w:hAnsi="PT Astra Serif" w:cs="PT Astra Serif"/>
            <w:sz w:val="26"/>
            <w:szCs w:val="26"/>
          </w:rPr>
          <w:t xml:space="preserve">2</w:t>
        </w:r>
      </w:hyperlink>
      <w:r>
        <w:rPr>
          <w:rFonts w:ascii="PT Astra Serif" w:hAnsi="PT Astra Serif" w:cs="PT Astra Serif"/>
          <w:sz w:val="26"/>
          <w:szCs w:val="26"/>
        </w:rPr>
        <w:t xml:space="preserve">8 настоящего Административного регламента, в электронной форме используется усиленная квалифицированная электронная подпись заявителя в соответствии с Федеральным </w:t>
      </w:r>
      <w:hyperlink r:id="rId20" w:tooltip="consultantplus://offline/ref=0FEB93647ABC25D5306F6FE80B397EEB5B95E4B9E5BDB657904A9D8273A818AB6DABCA69C5E46A1B4B1BE81A88pAtDG" w:history="1">
        <w:r>
          <w:rPr>
            <w:rFonts w:ascii="PT Astra Serif" w:hAnsi="PT Astra Serif" w:cs="PT Astra Serif"/>
            <w:sz w:val="26"/>
            <w:szCs w:val="26"/>
          </w:rPr>
          <w:t xml:space="preserve">законом</w:t>
        </w:r>
      </w:hyperlink>
      <w:r>
        <w:rPr>
          <w:rFonts w:ascii="PT Astra Serif" w:hAnsi="PT Astra Serif" w:cs="PT Astra Serif"/>
          <w:sz w:val="26"/>
          <w:szCs w:val="26"/>
        </w:rPr>
        <w:t xml:space="preserve"> от 6 апреля 2011 года № 63-ФЗ «Об электронной подписи» и </w:t>
      </w:r>
      <w:hyperlink r:id="rId21" w:tooltip="consultantplus://offline/ref=0FEB93647ABC25D5306F6FE80B397EEB5B9BE2B0ECBCB657904A9D8273A818AB6DABCA69C5E46A1B4B1BE81A88pAtDG" w:history="1">
        <w:r>
          <w:rPr>
            <w:rFonts w:ascii="PT Astra Serif" w:hAnsi="PT Astra Serif" w:cs="PT Astra Serif"/>
            <w:sz w:val="26"/>
            <w:szCs w:val="26"/>
          </w:rPr>
          <w:t xml:space="preserve">постановлением</w:t>
        </w:r>
      </w:hyperlink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</w:t>
      </w:r>
      <w:r>
        <w:rPr>
          <w:rFonts w:ascii="PT Astra Serif" w:hAnsi="PT Astra Serif" w:cs="PT Astra Serif"/>
          <w:sz w:val="26"/>
          <w:szCs w:val="26"/>
        </w:rPr>
        <w:t xml:space="preserve">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 направлении заявления и документов, указанных в пунктах 2</w:t>
      </w:r>
      <w:hyperlink w:tooltip="#P126" w:anchor="P126" w:history="1">
        <w:r>
          <w:rPr>
            <w:rFonts w:ascii="PT Astra Serif" w:hAnsi="PT Astra Serif" w:cs="PT Astra Serif"/>
            <w:sz w:val="26"/>
            <w:szCs w:val="26"/>
          </w:rPr>
          <w:t xml:space="preserve">5</w:t>
        </w:r>
      </w:hyperlink>
      <w:r>
        <w:rPr>
          <w:rFonts w:ascii="PT Astra Serif" w:hAnsi="PT Astra Serif" w:cs="PT Astra Serif"/>
          <w:sz w:val="26"/>
          <w:szCs w:val="26"/>
        </w:rPr>
        <w:t xml:space="preserve"> - </w:t>
      </w:r>
      <w:hyperlink w:tooltip="#P143" w:anchor="P143" w:history="1">
        <w:r>
          <w:rPr>
            <w:rFonts w:ascii="PT Astra Serif" w:hAnsi="PT Astra Serif" w:cs="PT Astra Serif"/>
            <w:sz w:val="26"/>
            <w:szCs w:val="26"/>
          </w:rPr>
          <w:t xml:space="preserve">2</w:t>
        </w:r>
      </w:hyperlink>
      <w:r>
        <w:rPr>
          <w:rFonts w:ascii="PT Astra Serif" w:hAnsi="PT Astra Serif" w:cs="PT Astra Serif"/>
          <w:sz w:val="26"/>
          <w:szCs w:val="26"/>
        </w:rPr>
        <w:t xml:space="preserve">8 настоящего Административного регламента, в электронной форме представителем, являющимся физическим лицом, заявление может быть подписано усиленной квалифицированной электронной подписью представителя, являющегося физическим лицом, либо усиленной неква</w:t>
      </w:r>
      <w:r>
        <w:rPr>
          <w:rFonts w:ascii="PT Astra Serif" w:hAnsi="PT Astra Serif" w:cs="PT Astra Serif"/>
          <w:sz w:val="26"/>
          <w:szCs w:val="26"/>
        </w:rPr>
        <w:t xml:space="preserve">лифицированной электронной подписью представителя, являющегося физическим лицом,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</w:t>
      </w:r>
      <w:r>
        <w:rPr>
          <w:rFonts w:ascii="PT Astra Serif" w:hAnsi="PT Astra Serif" w:cs="PT Astra Serif"/>
          <w:sz w:val="26"/>
          <w:szCs w:val="26"/>
        </w:rPr>
        <w:t xml:space="preserve">редоставления государственных и муниципальных услуг в электронной форме, в соответствии с постановлением Правительства Российской Федерации от 01.12.2021 № 2152 «Об утверждении Правил создания и использования сертификата ключа проверки усиленной неквалифиц</w:t>
      </w:r>
      <w:r>
        <w:rPr>
          <w:rFonts w:ascii="PT Astra Serif" w:hAnsi="PT Astra Serif" w:cs="PT Astra Serif"/>
          <w:sz w:val="26"/>
          <w:szCs w:val="26"/>
        </w:rPr>
        <w:t xml:space="preserve">ированной электронной подписи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порядке и при условии организации </w:t>
      </w:r>
      <w:r>
        <w:rPr>
          <w:rFonts w:ascii="PT Astra Serif" w:hAnsi="PT Astra Serif" w:cs="PT Astra Serif"/>
          <w:sz w:val="26"/>
          <w:szCs w:val="26"/>
        </w:rPr>
        <w:t xml:space="preserve">взаимодействия представителя, являющегося физическим лицом, с такой инфраструктурой с применением прошедших в установленном порядке процедуру оценки соответствия средств защиты информации.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24. Сведения о п</w:t>
      </w:r>
      <w:r>
        <w:rPr>
          <w:rFonts w:ascii="PT Astra Serif" w:hAnsi="PT Astra Serif"/>
          <w:bCs/>
          <w:sz w:val="26"/>
          <w:szCs w:val="26"/>
        </w:rPr>
        <w:t xml:space="preserve">оказателях доступности и качестве государственной услуги</w:t>
      </w:r>
      <w:r>
        <w:rPr>
          <w:rFonts w:ascii="PT Astra Serif" w:hAnsi="PT Astra Serif" w:cs="PT Astra Serif"/>
          <w:strike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размещаются на официальном сайте Департамента и на ЕПГУ.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документов, необходимых </w:t>
      </w:r>
      <w:r/>
    </w:p>
    <w:p>
      <w:pPr>
        <w:pStyle w:val="88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для предоставления государственной услуги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25. Для получения лицензии заявитель направляет в Департамент в форме электронных документов с использованием личного кабинета заявителя на ЕПГУ следующие документы: 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заявление о предоставлении лицензии;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копии документов, подтверждающих наличие у заявителя необходимых для осуществления лицен</w:t>
      </w:r>
      <w:r>
        <w:rPr>
          <w:rFonts w:ascii="PT Astra Serif" w:hAnsi="PT Astra Serif" w:cs="PT Astra Serif"/>
          <w:sz w:val="26"/>
          <w:szCs w:val="26"/>
        </w:rPr>
        <w:t xml:space="preserve">зируемой деятельности и принадлежащих ему на праве собственности или на ином законном основании земельных участков и (или) зданий, строений, сооружений и помещений (единой обособленной части зданий, строений, сооружений и помещений), права на которые не за</w:t>
      </w:r>
      <w:r>
        <w:rPr>
          <w:rFonts w:ascii="PT Astra Serif" w:hAnsi="PT Astra Serif" w:cs="PT Astra Serif"/>
          <w:sz w:val="26"/>
          <w:szCs w:val="26"/>
        </w:rPr>
        <w:t xml:space="preserve">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представляются сведения об этих земельных участках, зданиях, строениях, сооружениях и помещениях);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копии документов, подтверждающих наличие у заявителя принадлежащих ему на праве собственности или на ином законном основании технических средств, оборудования и технической документации, используемых для осуществления лицензируемой деятельности;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>
        <w:rPr>
          <w:rFonts w:ascii="PT Astra Serif" w:hAnsi="PT Astra Serif"/>
          <w:sz w:val="26"/>
          <w:szCs w:val="26"/>
        </w:rPr>
        <w:t xml:space="preserve">копии документов, подтверждающих прохождение соответствующей подготовки и аттестации лиц в соответствии с требованиями </w:t>
      </w:r>
      <w:hyperlink r:id="rId22" w:tooltip="consultantplus://offline/ref=67770C8F6ECA82DC6C49E20C511B316727E943E18246540F99A97D54E83B07318F1CE2BA1E1C1253DDF643B575C4C36DC789128B8632EAC1eEj6E" w:history="1">
        <w:r>
          <w:rPr>
            <w:rFonts w:ascii="PT Astra Serif" w:hAnsi="PT Astra Serif" w:cs="PT Astra Serif"/>
            <w:sz w:val="26"/>
            <w:szCs w:val="26"/>
          </w:rPr>
          <w:t xml:space="preserve">Правил</w:t>
        </w:r>
      </w:hyperlink>
      <w:r>
        <w:rPr>
          <w:rFonts w:ascii="PT Astra Serif" w:hAnsi="PT Astra Serif" w:cs="PT Astra Serif"/>
          <w:sz w:val="26"/>
          <w:szCs w:val="26"/>
        </w:rPr>
        <w:t xml:space="preserve"> обращения с ломом и отходами черных и цветных металлов и их отчуждения, утвержденных п</w:t>
      </w:r>
      <w:r>
        <w:rPr>
          <w:rFonts w:ascii="PT Astra Serif" w:hAnsi="PT Astra Serif"/>
          <w:sz w:val="26"/>
          <w:szCs w:val="26"/>
        </w:rPr>
        <w:t xml:space="preserve">остановлением Правитель</w:t>
      </w:r>
      <w:r>
        <w:rPr>
          <w:rFonts w:ascii="PT Astra Serif" w:hAnsi="PT Astra Serif"/>
          <w:sz w:val="26"/>
          <w:szCs w:val="26"/>
        </w:rPr>
        <w:t xml:space="preserve">ства Российской Федерации от 28.05.2022 № 980 «О некоторых вопросах лицензирования деятельности по заготовке, хранению, переработке и реализации лома черных и цветных металлов, а также обращения с ломом и отходами черных и цветных металлов и их отчуждения»</w:t>
      </w:r>
      <w:r>
        <w:rPr>
          <w:rFonts w:ascii="PT Astra Serif" w:hAnsi="PT Astra Serif" w:cs="PT Astra Serif"/>
          <w:sz w:val="26"/>
          <w:szCs w:val="26"/>
        </w:rPr>
        <w:t xml:space="preserve"> (далее - Правила)</w:t>
      </w:r>
      <w:r>
        <w:rPr>
          <w:rFonts w:ascii="PT Astra Serif" w:hAnsi="PT Astra Serif"/>
          <w:sz w:val="26"/>
          <w:szCs w:val="26"/>
        </w:rPr>
        <w:t xml:space="preserve">, в случае их отсутствия в федеральной информационной системе «Федеральный реестр сведений о документах об образовании и (или) о квалификации, документах об обучении»;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5) копии документов о назначении контролера лома и отходов металла, утвержденных руководителем организации - заявителем в соответствии с требованиями </w:t>
      </w:r>
      <w:hyperlink r:id="rId23" w:tooltip="consultantplus://offline/ref=D0D3D30027F4122E1387AFFDEBE800F76FC08BDB80FF1CFCC498B71A8EAACCA3F65B677BE932FA5B2C09E289F633E39540EDFD37168DAE9FF8j8E" w:history="1">
        <w:r>
          <w:rPr>
            <w:rFonts w:ascii="PT Astra Serif" w:hAnsi="PT Astra Serif" w:cs="PT Astra Serif"/>
            <w:sz w:val="26"/>
            <w:szCs w:val="26"/>
          </w:rPr>
          <w:t xml:space="preserve">Правил</w:t>
        </w:r>
      </w:hyperlink>
      <w:r>
        <w:rPr>
          <w:rFonts w:ascii="PT Astra Serif" w:hAnsi="PT Astra Serif"/>
          <w:sz w:val="26"/>
          <w:szCs w:val="26"/>
        </w:rPr>
        <w:t xml:space="preserve">.</w:t>
      </w:r>
      <w:r/>
    </w:p>
    <w:p>
      <w:pPr>
        <w:pStyle w:val="886"/>
        <w:ind w:firstLine="709"/>
        <w:jc w:val="both"/>
        <w:rPr>
          <w:rFonts w:ascii="PT Astra Serif" w:hAnsi="PT Astra Serif" w:eastAsia="Calibri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26. </w:t>
      </w:r>
      <w:r>
        <w:rPr>
          <w:rFonts w:ascii="PT Astra Serif" w:hAnsi="PT Astra Serif" w:cs="PT Astra Serif"/>
          <w:sz w:val="26"/>
          <w:szCs w:val="26"/>
        </w:rPr>
        <w:t xml:space="preserve">Для </w:t>
      </w:r>
      <w:r>
        <w:rPr>
          <w:rFonts w:ascii="PT Astra Serif" w:hAnsi="PT Astra Serif" w:eastAsia="Calibri" w:cs="PT Astra Serif"/>
          <w:sz w:val="26"/>
          <w:szCs w:val="26"/>
        </w:rPr>
        <w:t xml:space="preserve">внесения изменений в реестр лицензий </w:t>
      </w:r>
      <w:r>
        <w:rPr>
          <w:rFonts w:ascii="PT Astra Serif" w:hAnsi="PT Astra Serif" w:cs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>
        <w:rPr>
          <w:rFonts w:ascii="PT Astra Serif" w:hAnsi="PT Astra Serif" w:eastAsia="Calibri" w:cs="PT Astra Serif"/>
          <w:sz w:val="26"/>
          <w:szCs w:val="26"/>
        </w:rPr>
        <w:t xml:space="preserve">с использованием личного кабинета заявителя на ЕПГУ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hyperlink r:id="rId24" w:tooltip="consultantplus://offline/ref=C597D9C97098471EF2EB028C3AB955096D148223D9D9216D95F24991ACD620142AE3DAC5872E16B217E82A4670F6695A672EE08265467805FEC0A9E5O9N9F" w:history="1">
        <w:r>
          <w:rPr>
            <w:rFonts w:ascii="PT Astra Serif" w:hAnsi="PT Astra Serif" w:eastAsia="Calibri" w:cs="PT Astra Serif"/>
            <w:sz w:val="26"/>
            <w:szCs w:val="26"/>
          </w:rPr>
          <w:t xml:space="preserve">заявление</w:t>
        </w:r>
      </w:hyperlink>
      <w:r>
        <w:rPr>
          <w:rFonts w:ascii="PT Astra Serif" w:hAnsi="PT Astra Serif" w:eastAsia="Calibri" w:cs="PT Astra Serif"/>
          <w:sz w:val="26"/>
          <w:szCs w:val="26"/>
        </w:rPr>
        <w:t xml:space="preserve"> о внесении изменений в реестр лицензий.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</w:pPr>
      <w:r>
        <w:rPr>
          <w:rFonts w:ascii="PT Astra Serif" w:hAnsi="PT Astra Serif" w:cs="PT Astra Serif"/>
          <w:sz w:val="26"/>
          <w:szCs w:val="26"/>
        </w:rPr>
        <w:t xml:space="preserve">При намерении заявителя осуществлять деятельность </w:t>
      </w:r>
      <w:r>
        <w:rPr>
          <w:rFonts w:ascii="PT Astra Serif" w:hAnsi="PT Astra Serif"/>
          <w:sz w:val="26"/>
          <w:szCs w:val="26"/>
        </w:rPr>
        <w:t xml:space="preserve">по заготовке, хранению, переработке и реализации лома черных металлов, цветных металлов</w:t>
      </w:r>
      <w:r>
        <w:rPr>
          <w:rFonts w:ascii="PT Astra Serif" w:hAnsi="PT Astra Serif" w:cs="PT Astra Serif"/>
          <w:sz w:val="26"/>
          <w:szCs w:val="26"/>
        </w:rPr>
        <w:t xml:space="preserve"> по адресу, не указанному в реес</w:t>
      </w:r>
      <w:r>
        <w:rPr>
          <w:rFonts w:ascii="PT Astra Serif" w:hAnsi="PT Astra Serif" w:cs="PT Astra Serif"/>
          <w:sz w:val="26"/>
          <w:szCs w:val="26"/>
        </w:rPr>
        <w:t xml:space="preserve">тре лицензий, в заявлении о внесении изменений в реестр лицензий указываются адрес, по которому заявитель намерен осуществлять лицензируемый вид деятельности, а также сведения (документы), предусмотренные пунктом 25 настоящего Административного регламента.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27. Д</w:t>
      </w:r>
      <w:r>
        <w:rPr>
          <w:rFonts w:ascii="PT Astra Serif" w:hAnsi="PT Astra Serif" w:cs="Calibri"/>
          <w:sz w:val="26"/>
          <w:szCs w:val="26"/>
        </w:rPr>
        <w:t xml:space="preserve">ля прекращения действия лицензии </w:t>
      </w:r>
      <w:r>
        <w:rPr>
          <w:rFonts w:ascii="PT Astra Serif" w:hAnsi="PT Astra Serif"/>
          <w:sz w:val="26"/>
          <w:szCs w:val="26"/>
        </w:rPr>
        <w:t xml:space="preserve">заявитель направляет в Департамент в форме электронного документа </w:t>
      </w:r>
      <w:r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>
        <w:rPr>
          <w:rFonts w:ascii="PT Astra Serif" w:hAnsi="PT Astra Serif"/>
          <w:sz w:val="26"/>
          <w:szCs w:val="26"/>
        </w:rPr>
        <w:t xml:space="preserve">заявителя </w:t>
      </w:r>
      <w:r>
        <w:rPr>
          <w:rFonts w:ascii="PT Astra Serif" w:hAnsi="PT Astra Serif" w:cs="PT Astra Serif"/>
          <w:sz w:val="26"/>
          <w:szCs w:val="26"/>
        </w:rPr>
        <w:t xml:space="preserve">на ЕПГУ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 w:cs="Calibri"/>
          <w:sz w:val="26"/>
          <w:szCs w:val="26"/>
        </w:rPr>
        <w:t xml:space="preserve">заявление</w:t>
      </w:r>
      <w:r>
        <w:rPr>
          <w:rFonts w:ascii="PT Astra Serif" w:hAnsi="PT Astra Serif" w:cs="PT Astra Serif"/>
          <w:sz w:val="26"/>
          <w:szCs w:val="26"/>
        </w:rPr>
        <w:t xml:space="preserve"> о прекращении действия лицензии в</w:t>
      </w:r>
      <w:r>
        <w:rPr>
          <w:sz w:val="24"/>
          <w:szCs w:val="24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порядке, предусмотренном пунктом 23 настоящего Административного регламента.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/>
      <w:bookmarkStart w:id="6" w:name="P143"/>
      <w:r/>
      <w:bookmarkEnd w:id="6"/>
      <w:r>
        <w:rPr>
          <w:rFonts w:ascii="PT Astra Serif" w:hAnsi="PT Astra Serif" w:cs="PT Astra Serif"/>
          <w:sz w:val="26"/>
          <w:szCs w:val="26"/>
        </w:rPr>
        <w:t xml:space="preserve">28. </w:t>
      </w:r>
      <w:r>
        <w:rPr>
          <w:rFonts w:ascii="PT Astra Serif" w:hAnsi="PT Astra Serif"/>
          <w:sz w:val="26"/>
          <w:szCs w:val="26"/>
        </w:rPr>
        <w:t xml:space="preserve">Для получения сведений о конкретной лицензии заявитель направляет в Департамент в форме электронного документа </w:t>
      </w:r>
      <w:r>
        <w:rPr>
          <w:rFonts w:ascii="PT Astra Serif" w:hAnsi="PT Astra Serif" w:cs="PT Astra Serif"/>
          <w:sz w:val="26"/>
          <w:szCs w:val="26"/>
        </w:rPr>
        <w:t xml:space="preserve">с использованием личного кабинета </w:t>
      </w:r>
      <w:r>
        <w:rPr>
          <w:rFonts w:ascii="PT Astra Serif" w:hAnsi="PT Astra Serif"/>
          <w:sz w:val="26"/>
          <w:szCs w:val="26"/>
        </w:rPr>
        <w:t xml:space="preserve">заявителя </w:t>
      </w:r>
      <w:r>
        <w:rPr>
          <w:rFonts w:ascii="PT Astra Serif" w:hAnsi="PT Astra Serif" w:cs="PT Astra Serif"/>
          <w:sz w:val="26"/>
          <w:szCs w:val="26"/>
        </w:rPr>
        <w:t xml:space="preserve">на ЕПГУ</w:t>
      </w:r>
      <w:r>
        <w:rPr>
          <w:rFonts w:ascii="PT Astra Serif" w:hAnsi="PT Astra Serif"/>
          <w:sz w:val="26"/>
          <w:szCs w:val="26"/>
        </w:rPr>
        <w:t xml:space="preserve"> заявление о предоставлении сведений о конкретной лицензии.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 xml:space="preserve">В соответствии с пунктом 9(2) постановления Правительства Российской Федерации от 12.03.2022 № 353 «Об особенностях разрешительной деятельности в Российской Федерации», до 2030 года с использованием федеральной государственной информационной системы «Едины</w:t>
      </w:r>
      <w:r>
        <w:rPr>
          <w:rFonts w:ascii="PT Astra Serif" w:hAnsi="PT Astra Serif"/>
          <w:bCs/>
          <w:sz w:val="26"/>
          <w:szCs w:val="26"/>
        </w:rPr>
        <w:t xml:space="preserve">й портал государственных и муниципальных услуг (функций)» может подаваться заявление на получение выписки из реестра разрешений в единой универсальной форме. Такая выписка может подписываться электронной подписью информационной системы, в которой ведется р</w:t>
      </w:r>
      <w:r>
        <w:rPr>
          <w:rFonts w:ascii="PT Astra Serif" w:hAnsi="PT Astra Serif"/>
          <w:bCs/>
          <w:sz w:val="26"/>
          <w:szCs w:val="26"/>
        </w:rPr>
        <w:t xml:space="preserve">еестр разрешений. На выписку из реестра разрешений должен быть нанесен двухмерный штриховой код (QR-код), содержащий в кодированном виде адрес страницы в информационно-телекоммуникационной сети  «Интернет» с размещенной на ней записью в реестре разрешений.</w:t>
      </w:r>
      <w:r/>
    </w:p>
    <w:p>
      <w:pPr>
        <w:pStyle w:val="886"/>
        <w:ind w:firstLine="709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29. Проверяя достоверность сведений, содерж</w:t>
      </w:r>
      <w:r>
        <w:rPr>
          <w:rFonts w:ascii="PT Astra Serif" w:hAnsi="PT Astra Serif"/>
          <w:bCs/>
          <w:sz w:val="26"/>
          <w:szCs w:val="26"/>
        </w:rPr>
        <w:t xml:space="preserve">ащихся в представленном заявлении о предоставлении государственной услуги и (или) прилагаемых к заявлению о предоставлении государственной услуги документах, специалист комитета формирует и направляет запросы о представлении информации в следующие органы: </w:t>
      </w:r>
      <w:r/>
    </w:p>
    <w:p>
      <w:pPr>
        <w:ind w:firstLine="709"/>
        <w:jc w:val="both"/>
        <w:widowControl w:val="off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в Управление Федеральной налоговой службы по Томской области: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а) о предоставлении информации, подтверждающей факт внесения записи о заявителе в Единый государственный реестр юридических лиц - для юридических лиц, в Единый государственный реестр индивидуальных предпринимателей – для индивидуальных предпринимателей;</w:t>
      </w:r>
      <w:r/>
    </w:p>
    <w:p>
      <w:pPr>
        <w:ind w:firstLine="709"/>
        <w:jc w:val="both"/>
        <w:tabs>
          <w:tab w:val="left" w:pos="828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б) о предоставлении информации, подтверждающей факт постановки на учет заявителя - юридического лица, индивидуального предпринимателя в налоговом органе по месту нахождения на территории Российской Федерации;</w:t>
      </w:r>
      <w:r/>
    </w:p>
    <w:p>
      <w:pPr>
        <w:ind w:firstLine="709"/>
        <w:jc w:val="both"/>
        <w:tabs>
          <w:tab w:val="left" w:pos="828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в Управление Федеральной службы государственной регистрации, к</w:t>
      </w:r>
      <w:r>
        <w:rPr>
          <w:rFonts w:ascii="PT Astra Serif" w:hAnsi="PT Astra Serif"/>
          <w:sz w:val="26"/>
          <w:szCs w:val="26"/>
        </w:rPr>
        <w:t xml:space="preserve">адастра и картографии по Томской области - о предоставлении информации, подтверждающей факт регистрации заявителем права собственности (права хозяйственного ведения, права оперативного управления), договора аренды недвижимого имущества на срок год и более;</w:t>
      </w:r>
      <w:r/>
    </w:p>
    <w:p>
      <w:pPr>
        <w:ind w:firstLine="709"/>
        <w:jc w:val="both"/>
        <w:tabs>
          <w:tab w:val="left" w:pos="8280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в Управление Ф</w:t>
      </w:r>
      <w:r>
        <w:rPr>
          <w:rFonts w:ascii="PT Astra Serif" w:hAnsi="PT Astra Serif"/>
          <w:sz w:val="26"/>
          <w:szCs w:val="26"/>
        </w:rPr>
        <w:t xml:space="preserve">едерального казначейства по Томской области - о предоставлении информации, подтверждающей факт уплаты заявителем государственной пошлины за лицензирование деятельности по заготовке, хранению, переработке и реализации лома черных металлов, цветных металлов.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Заявитель вправе представить документы и сведения, предусмотренные настоящим пунктом в Департамент по собственной инициативе.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Исчерпывающий перечень оснований для от</w:t>
      </w:r>
      <w:r>
        <w:rPr>
          <w:rFonts w:ascii="PT Astra Serif" w:hAnsi="PT Astra Serif"/>
          <w:sz w:val="26"/>
          <w:szCs w:val="26"/>
        </w:rPr>
        <w:t xml:space="preserve">каза в приеме запроса о предоставлении государственной услуги и документов, необходимых для предоставления государственной услуги, и исчерпывающий перечень оснований для приостановления предоставления государственной услуги или для отказа в предоставлении </w:t>
      </w:r>
      <w:r/>
    </w:p>
    <w:p>
      <w:pPr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государственной услуги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30.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Основания для отказа в приеме документов, необходимых для предоставления государственной услуги, отсутствуют.</w:t>
      </w:r>
      <w:r/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31. Основания для приостановления предоставления государственной услуги отсутствуют.</w:t>
      </w:r>
      <w:r/>
    </w:p>
    <w:p>
      <w:pPr>
        <w:pStyle w:val="722"/>
        <w:ind w:left="0" w:firstLine="709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32. Основанием отказа в предоставлении лицензии является:</w:t>
      </w:r>
      <w:r/>
    </w:p>
    <w:p>
      <w:pPr>
        <w:ind w:firstLine="709"/>
        <w:jc w:val="both"/>
        <w:widowControl w:val="off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наличие в представленных соискателем лицензии заявлении о предоставлении лицензии и (или) прилагаемых к заявлению о предоставлении лицензии документах </w:t>
      </w:r>
      <w:r>
        <w:rPr>
          <w:rFonts w:ascii="PT Astra Serif" w:hAnsi="PT Astra Serif" w:cs="PT Astra Serif"/>
          <w:sz w:val="26"/>
          <w:szCs w:val="26"/>
        </w:rPr>
        <w:t xml:space="preserve">недостоверной или искаженной информации;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несоответствие заявителя лицензионным требованиям;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наличие у юридического лица или индивидуального предпринимателя, обратившихся в Департ</w:t>
      </w:r>
      <w:r>
        <w:rPr>
          <w:rFonts w:ascii="PT Astra Serif" w:hAnsi="PT Astra Serif" w:cs="PT Astra Serif"/>
          <w:sz w:val="26"/>
          <w:szCs w:val="26"/>
        </w:rPr>
        <w:t xml:space="preserve">амент с заявлением о предоставлении лицензии на конкретный лицензируемый вид деятельности, действующей лицензии на данный вид деятельности, предоставленной Департаментом, если иное не предусмотрено положением о лицензировании конкретного вида деятельности.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33. Основанием для отказа во внесении изменений в реестр лицензий является: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1) наличие в представленных заявителем заявлении о внесении изменений в реестр лицензий и (или) прилагаемых к заявлению о внесении изменений в реестр лицензий документах недостоверной или искаженной информации; 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несоответствие заявителя лицензионным требованиям.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34. В случае отказа в предоставлении государственной услуги Департамент информирует заявителя о причинах отказа в предоставлении государственной услуги с указанием перечня документов и информации, отсутствие и (или) недостоверность которых стали</w:t>
      </w:r>
      <w:r>
        <w:rPr>
          <w:rFonts w:ascii="PT Astra Serif" w:hAnsi="PT Astra Serif" w:cs="PT Astra Serif"/>
          <w:sz w:val="26"/>
          <w:szCs w:val="26"/>
        </w:rPr>
        <w:t xml:space="preserve"> причиной отказа в предоставлении государственной услуги,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государственной услуги.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35</w:t>
      </w:r>
      <w:r>
        <w:rPr>
          <w:rFonts w:ascii="PT Astra Serif" w:hAnsi="PT Astra Serif" w:cs="PT Astra Serif"/>
          <w:b/>
          <w:bCs/>
          <w:sz w:val="26"/>
          <w:szCs w:val="26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  <w:t xml:space="preserve"> Основания для отказа в прекращении действия лицензии, предоставлении выписки из реестра лицензий, предоставлении справки об отсутствии запрашиваемых сведений, отсутствуют.</w:t>
      </w:r>
      <w:r/>
    </w:p>
    <w:p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Способы информирования заявителя об изменении статуса рассмотрения  запроса о предоставлении государственной услуги</w:t>
      </w:r>
      <w:r/>
    </w:p>
    <w:p>
      <w:pPr>
        <w:pStyle w:val="886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  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36. Информация о ходе рассмотрения запроса о предоставлении государственной услуги и о результатах предоставления государственной услуги может быть получена заявителем (его представителем):</w:t>
      </w:r>
      <w:r/>
    </w:p>
    <w:p>
      <w:pPr>
        <w:pStyle w:val="886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непосредственно в Департаменте, расположенном по адресу: 634029, г. Томск, ул. Белинского, д. 15а;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42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по адресу электронной почты Департамента: </w:t>
      </w:r>
      <w:r>
        <w:rPr>
          <w:rFonts w:ascii="PT Astra Serif" w:hAnsi="PT Astra Serif"/>
          <w:sz w:val="26"/>
          <w:szCs w:val="26"/>
          <w:lang w:val="en-US" w:eastAsia="ru-RU"/>
        </w:rPr>
        <w:t xml:space="preserve">info</w:t>
      </w:r>
      <w:r>
        <w:rPr>
          <w:rFonts w:ascii="PT Astra Serif" w:hAnsi="PT Astra Serif"/>
          <w:sz w:val="26"/>
          <w:szCs w:val="26"/>
          <w:lang w:eastAsia="ru-RU"/>
        </w:rPr>
        <w:t xml:space="preserve">@palata.tomsk.ru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;</w:t>
      </w:r>
      <w:r/>
    </w:p>
    <w:p>
      <w:pPr>
        <w:pStyle w:val="722"/>
        <w:ind w:left="0" w:firstLine="709"/>
        <w:jc w:val="both"/>
        <w:spacing w:after="0" w:line="240" w:lineRule="auto"/>
        <w:tabs>
          <w:tab w:val="left" w:pos="426" w:leader="none"/>
        </w:tabs>
        <w:rPr>
          <w:rFonts w:ascii="PT Astra Serif" w:hAnsi="PT Astra Serif" w:eastAsia="Times New Roman"/>
          <w:sz w:val="26"/>
          <w:szCs w:val="26"/>
          <w:lang w:eastAsia="ru-RU"/>
        </w:rPr>
      </w:pP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в личном кабинете на</w:t>
      </w:r>
      <w:r>
        <w:rPr>
          <w:rFonts w:ascii="PT Astra Serif" w:hAnsi="PT Astra Serif"/>
          <w:sz w:val="26"/>
          <w:szCs w:val="26"/>
        </w:rPr>
        <w:t xml:space="preserve"> ЕПГУ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 по адресу:</w:t>
      </w:r>
      <w:r>
        <w:rPr>
          <w:rFonts w:ascii="PT Astra Serif" w:hAnsi="PT Astra Serif"/>
          <w:sz w:val="26"/>
          <w:szCs w:val="26"/>
        </w:rPr>
        <w:t xml:space="preserve"> http://www.gosuslugi.ru</w:t>
      </w:r>
      <w:r>
        <w:rPr>
          <w:rFonts w:ascii="PT Astra Serif" w:hAnsi="PT Astra Serif" w:eastAsia="Times New Roman"/>
          <w:sz w:val="26"/>
          <w:szCs w:val="26"/>
          <w:lang w:eastAsia="ru-RU"/>
        </w:rPr>
        <w:t xml:space="preserve">;</w:t>
      </w:r>
      <w:r/>
    </w:p>
    <w:p>
      <w:pPr>
        <w:pStyle w:val="886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телефонам: 8</w:t>
      </w:r>
      <w:r>
        <w:rPr>
          <w:rFonts w:ascii="PT Astra Serif" w:hAnsi="PT Astra Serif" w:cs="PT Astra Serif"/>
          <w:sz w:val="26"/>
          <w:szCs w:val="26"/>
        </w:rPr>
        <w:t xml:space="preserve">(3822) 527-103, 8(3822) 532-589, 8(3822) 528-970 </w:t>
      </w:r>
      <w:r>
        <w:rPr>
          <w:rFonts w:ascii="PT Astra Serif" w:hAnsi="PT Astra Serif"/>
          <w:bCs/>
          <w:sz w:val="26"/>
          <w:szCs w:val="26"/>
        </w:rPr>
        <w:t xml:space="preserve">– комитет лицензионно-разрешительной деятельности Департамента.</w:t>
      </w:r>
      <w:r/>
    </w:p>
    <w:p>
      <w:pPr>
        <w:pStyle w:val="886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86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Иные требования к предоставлению государственной услуги</w:t>
      </w:r>
      <w:r/>
    </w:p>
    <w:p>
      <w:pPr>
        <w:pStyle w:val="886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  </w:t>
      </w:r>
      <w:r/>
    </w:p>
    <w:p>
      <w:pPr>
        <w:pStyle w:val="886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37. Услуги, которые являются необходимыми и обязательными для предоставления государственной услуги, отсутствуют.</w:t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38. Для предоставления государственной услуги используется Федеральная государственная информационная система «Единая система предоставления государственных и муниципальных услуг (сервисов)» (ФГИС ПГС).</w:t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pStyle w:val="895"/>
        <w:ind w:firstLine="709"/>
        <w:jc w:val="both"/>
        <w:widowControl/>
        <w:tabs>
          <w:tab w:val="left" w:pos="1440" w:leader="none"/>
          <w:tab w:val="left" w:pos="8280" w:leader="none"/>
        </w:tabs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/>
    </w:p>
    <w:p>
      <w:pPr>
        <w:ind w:firstLine="708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</w:r>
      <w:r/>
    </w:p>
    <w:sectPr>
      <w:footnotePr/>
      <w:endnotePr/>
      <w:type w:val="nextPage"/>
      <w:pgSz w:w="11907" w:h="16840" w:orient="portrait"/>
      <w:pgMar w:top="1134" w:right="851" w:bottom="567" w:left="1134" w:header="737" w:footer="284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mbria">
    <w:panose1 w:val="02040503050406030204"/>
  </w:font>
  <w:font w:name="Tahoma">
    <w:panose1 w:val="020B0604030504040204"/>
  </w:font>
  <w:font w:name="Batang">
    <w:panose1 w:val="02010600030101010101"/>
  </w:font>
  <w:font w:name="Calibri">
    <w:panose1 w:val="020F0502020204030204"/>
  </w:font>
  <w:font w:name="PT Astra Serif">
    <w:panose1 w:val="020A060304050502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2"/>
      <w:spacing w:before="0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sz w:val="26"/>
        <w:szCs w:val="26"/>
      </w:rPr>
      <w:fldChar w:fldCharType="begin"/>
    </w:r>
    <w:r>
      <w:rPr>
        <w:rFonts w:ascii="PT Astra Serif" w:hAnsi="PT Astra Serif"/>
        <w:sz w:val="26"/>
        <w:szCs w:val="26"/>
      </w:rPr>
      <w:instrText xml:space="preserve"> PAGE   \* MERGEFORMAT </w:instrText>
    </w:r>
    <w:r>
      <w:rPr>
        <w:rFonts w:ascii="PT Astra Serif" w:hAnsi="PT Astra Serif"/>
        <w:b w:val="0"/>
        <w:sz w:val="26"/>
        <w:szCs w:val="26"/>
      </w:rPr>
      <w:fldChar w:fldCharType="separate"/>
    </w:r>
    <w:r>
      <w:rPr>
        <w:rFonts w:ascii="PT Astra Serif" w:hAnsi="PT Astra Serif"/>
        <w:b w:val="0"/>
        <w:sz w:val="26"/>
        <w:szCs w:val="26"/>
      </w:rPr>
      <w:t xml:space="preserve">2</w:t>
    </w:r>
    <w:r>
      <w:rPr>
        <w:rFonts w:ascii="PT Astra Serif" w:hAnsi="PT Astra Serif"/>
        <w:b w:val="0"/>
        <w:sz w:val="26"/>
        <w:szCs w:val="26"/>
      </w:rPr>
      <w:fldChar w:fldCharType="end"/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0251" cy="654850"/>
              <wp:effectExtent l="0" t="0" r="0" b="0"/>
              <wp:docPr id="1" name="Рисунок 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280732837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0" cy="65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722"/>
      <w:ind w:left="0"/>
      <w:jc w:val="center"/>
      <w:spacing w:after="0" w:line="362" w:lineRule="exact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 xml:space="preserve">ДЕПАРТАМЕНТ ЛИЦЕНЗИРОВАНИЯ И РЕГИОНАЛЬНОГО ГОСУДАРСТВЕННОГО КОНТРОЛЯ ТОМСКОЙ ОБЛАСТИ</w:t>
    </w:r>
    <w:r/>
  </w:p>
  <w:p>
    <w:pPr>
      <w:pStyle w:val="73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47" w:hanging="10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49">
    <w:name w:val="Plain Table 1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">
    <w:name w:val="Grid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6">
    <w:name w:val="Grid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5">
    <w:name w:val="List Table 7 Colorful"/>
    <w:basedOn w:val="6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178">
    <w:name w:val="Endnote Text Char"/>
    <w:link w:val="709"/>
    <w:uiPriority w:val="99"/>
    <w:rPr>
      <w:sz w:val="20"/>
    </w:rPr>
  </w:style>
  <w:style w:type="paragraph" w:styleId="679" w:default="1">
    <w:name w:val="Normal"/>
    <w:link w:val="750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paragraph" w:styleId="680">
    <w:name w:val="Heading 1"/>
    <w:link w:val="713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81">
    <w:name w:val="Heading 2"/>
    <w:link w:val="714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82">
    <w:name w:val="Heading 3"/>
    <w:link w:val="71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83">
    <w:name w:val="Heading 4"/>
    <w:link w:val="71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84">
    <w:name w:val="Heading 5"/>
    <w:link w:val="71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85">
    <w:name w:val="Heading 6"/>
    <w:link w:val="71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86">
    <w:name w:val="Heading 7"/>
    <w:link w:val="719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87">
    <w:name w:val="Heading 8"/>
    <w:link w:val="720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88">
    <w:name w:val="Heading 9"/>
    <w:link w:val="721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89" w:default="1">
    <w:name w:val="Default Paragraph Font"/>
    <w:uiPriority w:val="1"/>
    <w:semiHidden/>
    <w:unhideWhenUsed/>
  </w:style>
  <w:style w:type="table" w:styleId="6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1" w:default="1">
    <w:name w:val="No List"/>
    <w:uiPriority w:val="99"/>
    <w:semiHidden/>
    <w:unhideWhenUsed/>
  </w:style>
  <w:style w:type="character" w:styleId="692" w:customStyle="1">
    <w:name w:val="Heading 1 Char"/>
    <w:basedOn w:val="689"/>
    <w:uiPriority w:val="9"/>
    <w:rPr>
      <w:rFonts w:ascii="Arial" w:hAnsi="Arial" w:eastAsia="Arial" w:cs="Arial"/>
      <w:sz w:val="40"/>
      <w:szCs w:val="40"/>
    </w:rPr>
  </w:style>
  <w:style w:type="character" w:styleId="693" w:customStyle="1">
    <w:name w:val="Heading 2 Char"/>
    <w:basedOn w:val="689"/>
    <w:uiPriority w:val="9"/>
    <w:rPr>
      <w:rFonts w:ascii="Arial" w:hAnsi="Arial" w:eastAsia="Arial" w:cs="Arial"/>
      <w:sz w:val="34"/>
    </w:rPr>
  </w:style>
  <w:style w:type="character" w:styleId="694" w:customStyle="1">
    <w:name w:val="Heading 3 Char"/>
    <w:basedOn w:val="689"/>
    <w:uiPriority w:val="9"/>
    <w:rPr>
      <w:rFonts w:ascii="Arial" w:hAnsi="Arial" w:eastAsia="Arial" w:cs="Arial"/>
      <w:sz w:val="30"/>
      <w:szCs w:val="30"/>
    </w:rPr>
  </w:style>
  <w:style w:type="character" w:styleId="695" w:customStyle="1">
    <w:name w:val="Heading 4 Char"/>
    <w:basedOn w:val="689"/>
    <w:uiPriority w:val="9"/>
    <w:rPr>
      <w:rFonts w:ascii="Arial" w:hAnsi="Arial" w:eastAsia="Arial" w:cs="Arial"/>
      <w:b/>
      <w:bCs/>
      <w:sz w:val="26"/>
      <w:szCs w:val="26"/>
    </w:rPr>
  </w:style>
  <w:style w:type="character" w:styleId="696" w:customStyle="1">
    <w:name w:val="Heading 5 Char"/>
    <w:basedOn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97" w:customStyle="1">
    <w:name w:val="Heading 6 Char"/>
    <w:basedOn w:val="689"/>
    <w:uiPriority w:val="9"/>
    <w:rPr>
      <w:rFonts w:ascii="Arial" w:hAnsi="Arial" w:eastAsia="Arial" w:cs="Arial"/>
      <w:b/>
      <w:bCs/>
      <w:sz w:val="22"/>
      <w:szCs w:val="22"/>
    </w:rPr>
  </w:style>
  <w:style w:type="character" w:styleId="698" w:customStyle="1">
    <w:name w:val="Heading 7 Char"/>
    <w:basedOn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9" w:customStyle="1">
    <w:name w:val="Heading 8 Char"/>
    <w:basedOn w:val="689"/>
    <w:uiPriority w:val="9"/>
    <w:rPr>
      <w:rFonts w:ascii="Arial" w:hAnsi="Arial" w:eastAsia="Arial" w:cs="Arial"/>
      <w:i/>
      <w:iCs/>
      <w:sz w:val="22"/>
      <w:szCs w:val="22"/>
    </w:rPr>
  </w:style>
  <w:style w:type="character" w:styleId="700" w:customStyle="1">
    <w:name w:val="Heading 9 Char"/>
    <w:basedOn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701" w:customStyle="1">
    <w:name w:val="Title Char"/>
    <w:basedOn w:val="689"/>
    <w:uiPriority w:val="10"/>
    <w:rPr>
      <w:sz w:val="48"/>
      <w:szCs w:val="48"/>
    </w:rPr>
  </w:style>
  <w:style w:type="character" w:styleId="702" w:customStyle="1">
    <w:name w:val="Subtitle Char"/>
    <w:basedOn w:val="689"/>
    <w:uiPriority w:val="11"/>
    <w:rPr>
      <w:sz w:val="24"/>
      <w:szCs w:val="24"/>
    </w:rPr>
  </w:style>
  <w:style w:type="character" w:styleId="703" w:customStyle="1">
    <w:name w:val="Quote Char"/>
    <w:uiPriority w:val="29"/>
    <w:rPr>
      <w:i/>
    </w:rPr>
  </w:style>
  <w:style w:type="character" w:styleId="704" w:customStyle="1">
    <w:name w:val="Intense Quote Char"/>
    <w:uiPriority w:val="30"/>
    <w:rPr>
      <w:i/>
    </w:rPr>
  </w:style>
  <w:style w:type="character" w:styleId="705" w:customStyle="1">
    <w:name w:val="Header Char"/>
    <w:basedOn w:val="689"/>
    <w:uiPriority w:val="99"/>
  </w:style>
  <w:style w:type="character" w:styleId="706" w:customStyle="1">
    <w:name w:val="Footer Char"/>
    <w:basedOn w:val="689"/>
    <w:uiPriority w:val="99"/>
  </w:style>
  <w:style w:type="character" w:styleId="707" w:customStyle="1">
    <w:name w:val="Caption Char"/>
    <w:uiPriority w:val="99"/>
  </w:style>
  <w:style w:type="character" w:styleId="708" w:customStyle="1">
    <w:name w:val="Footnote Text Char"/>
    <w:uiPriority w:val="99"/>
    <w:rPr>
      <w:sz w:val="18"/>
    </w:rPr>
  </w:style>
  <w:style w:type="paragraph" w:styleId="709">
    <w:name w:val="endnote text"/>
    <w:basedOn w:val="679"/>
    <w:link w:val="710"/>
    <w:uiPriority w:val="99"/>
    <w:semiHidden/>
    <w:unhideWhenUsed/>
  </w:style>
  <w:style w:type="character" w:styleId="710" w:customStyle="1">
    <w:name w:val="Текст концевой сноски Знак"/>
    <w:link w:val="709"/>
    <w:uiPriority w:val="99"/>
    <w:rPr>
      <w:sz w:val="20"/>
    </w:rPr>
  </w:style>
  <w:style w:type="character" w:styleId="711">
    <w:name w:val="endnote reference"/>
    <w:basedOn w:val="689"/>
    <w:uiPriority w:val="99"/>
    <w:semiHidden/>
    <w:unhideWhenUsed/>
    <w:rPr>
      <w:vertAlign w:val="superscript"/>
    </w:rPr>
  </w:style>
  <w:style w:type="paragraph" w:styleId="712">
    <w:name w:val="table of figures"/>
    <w:basedOn w:val="679"/>
    <w:next w:val="679"/>
    <w:uiPriority w:val="99"/>
    <w:unhideWhenUsed/>
  </w:style>
  <w:style w:type="character" w:styleId="713" w:customStyle="1">
    <w:name w:val="Заголовок 1 Знак"/>
    <w:link w:val="680"/>
    <w:uiPriority w:val="9"/>
    <w:rPr>
      <w:rFonts w:ascii="Arial" w:hAnsi="Arial" w:eastAsia="Arial"/>
      <w:sz w:val="40"/>
      <w:szCs w:val="40"/>
      <w:lang w:bidi="ar-SA"/>
    </w:rPr>
  </w:style>
  <w:style w:type="character" w:styleId="714" w:customStyle="1">
    <w:name w:val="Заголовок 2 Знак"/>
    <w:link w:val="681"/>
    <w:uiPriority w:val="9"/>
    <w:rPr>
      <w:rFonts w:ascii="Arial" w:hAnsi="Arial" w:eastAsia="Arial"/>
      <w:sz w:val="34"/>
      <w:lang w:bidi="ar-SA"/>
    </w:rPr>
  </w:style>
  <w:style w:type="character" w:styleId="715" w:customStyle="1">
    <w:name w:val="Заголовок 3 Знак"/>
    <w:link w:val="682"/>
    <w:uiPriority w:val="9"/>
    <w:rPr>
      <w:rFonts w:ascii="Arial" w:hAnsi="Arial" w:eastAsia="Arial"/>
      <w:sz w:val="30"/>
      <w:szCs w:val="30"/>
      <w:lang w:bidi="ar-SA"/>
    </w:rPr>
  </w:style>
  <w:style w:type="character" w:styleId="716" w:customStyle="1">
    <w:name w:val="Заголовок 4 Знак"/>
    <w:link w:val="683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17" w:customStyle="1">
    <w:name w:val="Заголовок 5 Знак"/>
    <w:link w:val="684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18" w:customStyle="1">
    <w:name w:val="Заголовок 6 Знак"/>
    <w:link w:val="685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19" w:customStyle="1">
    <w:name w:val="Заголовок 7 Знак"/>
    <w:link w:val="686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0" w:customStyle="1">
    <w:name w:val="Заголовок 8 Знак"/>
    <w:link w:val="687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1" w:customStyle="1">
    <w:name w:val="Заголовок 9 Знак"/>
    <w:link w:val="688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2">
    <w:name w:val="List Paragraph"/>
    <w:uiPriority w:val="34"/>
    <w:qFormat/>
    <w:pPr>
      <w:contextualSpacing/>
      <w:ind w:left="720"/>
      <w:spacing w:after="200" w:line="276" w:lineRule="auto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eastAsia="Calibri"/>
      <w:sz w:val="22"/>
      <w:szCs w:val="22"/>
      <w:lang w:eastAsia="en-US"/>
    </w:rPr>
  </w:style>
  <w:style w:type="paragraph" w:styleId="723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24">
    <w:name w:val="Title"/>
    <w:link w:val="725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25" w:customStyle="1">
    <w:name w:val="Заголовок Знак"/>
    <w:link w:val="724"/>
    <w:uiPriority w:val="10"/>
    <w:rPr>
      <w:sz w:val="48"/>
      <w:szCs w:val="48"/>
      <w:lang w:bidi="ar-SA"/>
    </w:rPr>
  </w:style>
  <w:style w:type="paragraph" w:styleId="726">
    <w:name w:val="Subtitle"/>
    <w:link w:val="727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27" w:customStyle="1">
    <w:name w:val="Подзаголовок Знак"/>
    <w:link w:val="726"/>
    <w:uiPriority w:val="11"/>
    <w:rPr>
      <w:sz w:val="24"/>
      <w:szCs w:val="24"/>
      <w:lang w:bidi="ar-SA"/>
    </w:rPr>
  </w:style>
  <w:style w:type="paragraph" w:styleId="728">
    <w:name w:val="Quote"/>
    <w:link w:val="729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29" w:customStyle="1">
    <w:name w:val="Цитата 2 Знак"/>
    <w:link w:val="728"/>
    <w:uiPriority w:val="29"/>
    <w:rPr>
      <w:i/>
      <w:lang w:val="ru-RU" w:eastAsia="ru-RU" w:bidi="ar-SA"/>
    </w:rPr>
  </w:style>
  <w:style w:type="paragraph" w:styleId="730">
    <w:name w:val="Intense Quote"/>
    <w:link w:val="73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1" w:customStyle="1">
    <w:name w:val="Выделенная цитата Знак"/>
    <w:link w:val="730"/>
    <w:uiPriority w:val="30"/>
    <w:rPr>
      <w:i/>
      <w:shd w:val="clear" w:color="auto" w:fill="f2f2f2"/>
      <w:lang w:val="ru-RU" w:eastAsia="ru-RU" w:bidi="ar-SA"/>
    </w:rPr>
  </w:style>
  <w:style w:type="paragraph" w:styleId="732">
    <w:name w:val="Header"/>
    <w:basedOn w:val="679"/>
    <w:link w:val="733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33" w:customStyle="1">
    <w:name w:val="Верхний колонтитул Знак"/>
    <w:link w:val="732"/>
    <w:uiPriority w:val="99"/>
  </w:style>
  <w:style w:type="paragraph" w:styleId="734">
    <w:name w:val="Footer"/>
    <w:basedOn w:val="679"/>
    <w:link w:val="735"/>
    <w:uiPriority w:val="99"/>
    <w:pPr>
      <w:tabs>
        <w:tab w:val="center" w:pos="4153" w:leader="none"/>
        <w:tab w:val="right" w:pos="8306" w:leader="none"/>
      </w:tabs>
    </w:pPr>
  </w:style>
  <w:style w:type="character" w:styleId="735" w:customStyle="1">
    <w:name w:val="Нижний колонтитул Знак"/>
    <w:link w:val="734"/>
    <w:uiPriority w:val="99"/>
  </w:style>
  <w:style w:type="table" w:styleId="736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7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8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9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1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2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3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4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5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6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7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2">
    <w:name w:val="Hyperlink"/>
    <w:unhideWhenUsed/>
    <w:rPr>
      <w:color w:val="0000ff"/>
      <w:u w:val="single"/>
    </w:rPr>
  </w:style>
  <w:style w:type="paragraph" w:styleId="863">
    <w:name w:val="footnote text"/>
    <w:link w:val="864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64" w:customStyle="1">
    <w:name w:val="Текст сноски Знак"/>
    <w:link w:val="863"/>
    <w:uiPriority w:val="99"/>
    <w:semiHidden/>
    <w:rPr>
      <w:sz w:val="18"/>
      <w:lang w:bidi="ar-SA"/>
    </w:rPr>
  </w:style>
  <w:style w:type="character" w:styleId="865">
    <w:name w:val="footnote reference"/>
    <w:uiPriority w:val="99"/>
    <w:unhideWhenUsed/>
    <w:rPr>
      <w:vertAlign w:val="superscript"/>
    </w:rPr>
  </w:style>
  <w:style w:type="paragraph" w:styleId="866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7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8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69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0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1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2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3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Body Text"/>
    <w:basedOn w:val="679"/>
    <w:next w:val="679"/>
    <w:pPr>
      <w:jc w:val="both"/>
    </w:pPr>
    <w:rPr>
      <w:sz w:val="22"/>
    </w:rPr>
  </w:style>
  <w:style w:type="character" w:styleId="877">
    <w:name w:val="page number"/>
    <w:basedOn w:val="689"/>
  </w:style>
  <w:style w:type="paragraph" w:styleId="878">
    <w:name w:val="Caption"/>
    <w:basedOn w:val="679"/>
    <w:next w:val="679"/>
    <w:pPr>
      <w:jc w:val="center"/>
    </w:pPr>
    <w:rPr>
      <w:b/>
      <w:sz w:val="28"/>
    </w:rPr>
  </w:style>
  <w:style w:type="paragraph" w:styleId="879">
    <w:name w:val="Body Text 2"/>
    <w:basedOn w:val="679"/>
    <w:pPr>
      <w:ind w:right="5102"/>
      <w:jc w:val="center"/>
      <w:spacing w:before="120"/>
    </w:pPr>
  </w:style>
  <w:style w:type="paragraph" w:styleId="880" w:customStyle="1">
    <w:name w:val="Обращение"/>
    <w:basedOn w:val="679"/>
    <w:next w:val="679"/>
    <w:pPr>
      <w:jc w:val="center"/>
      <w:spacing w:before="240" w:after="120"/>
    </w:pPr>
    <w:rPr>
      <w:b/>
    </w:rPr>
  </w:style>
  <w:style w:type="paragraph" w:styleId="881" w:customStyle="1">
    <w:name w:val="Адресные реквизиты"/>
    <w:basedOn w:val="876"/>
    <w:next w:val="876"/>
    <w:pPr>
      <w:jc w:val="left"/>
    </w:pPr>
    <w:rPr>
      <w:sz w:val="16"/>
    </w:rPr>
  </w:style>
  <w:style w:type="paragraph" w:styleId="882" w:customStyle="1">
    <w:name w:val="Адресат"/>
    <w:basedOn w:val="679"/>
    <w:pPr>
      <w:spacing w:before="120"/>
    </w:pPr>
    <w:rPr>
      <w:b/>
    </w:rPr>
  </w:style>
  <w:style w:type="paragraph" w:styleId="883">
    <w:name w:val="Body Text 3"/>
    <w:basedOn w:val="679"/>
    <w:pPr>
      <w:spacing w:before="120"/>
      <w:tabs>
        <w:tab w:val="left" w:pos="7371" w:leader="none"/>
      </w:tabs>
    </w:pPr>
    <w:rPr>
      <w:sz w:val="28"/>
    </w:rPr>
  </w:style>
  <w:style w:type="paragraph" w:styleId="884">
    <w:name w:val="Balloon Text"/>
    <w:basedOn w:val="679"/>
    <w:link w:val="885"/>
    <w:uiPriority w:val="99"/>
    <w:semiHidden/>
    <w:unhideWhenUsed/>
    <w:rPr>
      <w:rFonts w:ascii="Tahoma" w:hAnsi="Tahoma"/>
      <w:sz w:val="16"/>
      <w:szCs w:val="16"/>
    </w:rPr>
  </w:style>
  <w:style w:type="character" w:styleId="885" w:customStyle="1">
    <w:name w:val="Текст выноски Знак"/>
    <w:link w:val="884"/>
    <w:uiPriority w:val="99"/>
    <w:semiHidden/>
    <w:rPr>
      <w:rFonts w:ascii="Tahoma" w:hAnsi="Tahoma" w:cs="Tahoma"/>
      <w:sz w:val="16"/>
      <w:szCs w:val="16"/>
    </w:rPr>
  </w:style>
  <w:style w:type="paragraph" w:styleId="886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87">
    <w:name w:val="Body Text Indent"/>
    <w:basedOn w:val="679"/>
    <w:link w:val="888"/>
    <w:uiPriority w:val="99"/>
    <w:semiHidden/>
    <w:unhideWhenUsed/>
    <w:pPr>
      <w:ind w:left="283"/>
      <w:spacing w:after="120"/>
    </w:pPr>
  </w:style>
  <w:style w:type="character" w:styleId="888" w:customStyle="1">
    <w:name w:val="Основной текст с отступом Знак"/>
    <w:link w:val="887"/>
    <w:uiPriority w:val="99"/>
    <w:semiHidden/>
    <w:rPr>
      <w:sz w:val="22"/>
      <w:szCs w:val="22"/>
      <w:lang w:eastAsia="en-US" w:bidi="en-US"/>
    </w:rPr>
  </w:style>
  <w:style w:type="paragraph" w:styleId="889" w:customStyle="1">
    <w:name w:val="Заголовок 11"/>
    <w:basedOn w:val="734"/>
    <w:next w:val="734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styleId="890" w:customStyle="1">
    <w:name w:val="ConsPlusTitle"/>
    <w:pPr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Arial" w:hAnsi="Arial"/>
      <w:b/>
      <w:bCs/>
    </w:rPr>
  </w:style>
  <w:style w:type="character" w:styleId="891" w:customStyle="1">
    <w:name w:val="pagesindoccount"/>
  </w:style>
  <w:style w:type="character" w:styleId="892" w:customStyle="1">
    <w:name w:val="Основной текст (2)_"/>
    <w:link w:val="893"/>
    <w:rPr>
      <w:sz w:val="25"/>
      <w:szCs w:val="25"/>
      <w:shd w:val="clear" w:color="auto" w:fill="ffffff"/>
    </w:rPr>
  </w:style>
  <w:style w:type="paragraph" w:styleId="893" w:customStyle="1">
    <w:name w:val="Основной текст (2)"/>
    <w:basedOn w:val="679"/>
    <w:link w:val="892"/>
    <w:pPr>
      <w:jc w:val="center"/>
      <w:spacing w:before="3720" w:after="420" w:line="240" w:lineRule="atLeast"/>
      <w:shd w:val="clear" w:color="auto" w:fill="ffffff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5"/>
      <w:szCs w:val="25"/>
    </w:rPr>
  </w:style>
  <w:style w:type="paragraph" w:styleId="894" w:customStyle="1">
    <w:name w:val="Прижатый влево"/>
    <w:basedOn w:val="679"/>
    <w:next w:val="679"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rFonts w:ascii="Arial" w:hAnsi="Arial"/>
      <w:sz w:val="22"/>
      <w:szCs w:val="22"/>
    </w:rPr>
  </w:style>
  <w:style w:type="paragraph" w:styleId="895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896">
    <w:name w:val="Normal (Web)"/>
    <w:basedOn w:val="679"/>
    <w:uiPriority w:val="99"/>
    <w:semiHidden/>
    <w:unhideWhenUsed/>
    <w:pPr>
      <w:spacing w:before="100" w:beforeAutospacing="1" w:after="100" w:afterAutospacing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consultantplus://offline/ref=CEE453A2CB28F7102C0462E5185FF46E9F877D88D042658249AB3A62BC4A9C31A65286EAB958231AfB29B" TargetMode="External"/><Relationship Id="rId13" Type="http://schemas.openxmlformats.org/officeDocument/2006/relationships/hyperlink" Target="consultantplus://offline/ref=CEE453A2CB28F7102C0462F31B33AA6A9C8C2280D24A68D21CF93C35E31A9A64E61280BFFA1C2F1BBB4AE467f42CB" TargetMode="External"/><Relationship Id="rId14" Type="http://schemas.openxmlformats.org/officeDocument/2006/relationships/hyperlink" Target="consultantplus://offline/ref=CEE453A2CB28F7102C0462F31B33AA6A9C8C2280D24A68D21CF93C35E31A9A64E61280BFFA1C2F1BBB4AE466f421B" TargetMode="External"/><Relationship Id="rId15" Type="http://schemas.openxmlformats.org/officeDocument/2006/relationships/hyperlink" Target="mailto:info@palata.tomsk.ru" TargetMode="External"/><Relationship Id="rId16" Type="http://schemas.openxmlformats.org/officeDocument/2006/relationships/hyperlink" Target="http://www.gosuslugi.ru" TargetMode="External"/><Relationship Id="rId17" Type="http://schemas.openxmlformats.org/officeDocument/2006/relationships/hyperlink" Target="consultantplus://offline/ref=E6253F76ECBDE74FDB2F867513BE2A51D3C727D48C59EBC721662C24D5ACCA2686002373656CC62D026FF3EC67E44650856FD44451W658J" TargetMode="External"/><Relationship Id="rId18" Type="http://schemas.openxmlformats.org/officeDocument/2006/relationships/hyperlink" Target="consultantplus://offline/ref=E6253F76ECBDE74FDB2F867513BE2A51D4CE21D4805CEBC721662C24D5ACCA2686002373676DC47B587FF7A530E85A519971D45A516A29WB51J" TargetMode="External"/><Relationship Id="rId19" Type="http://schemas.openxmlformats.org/officeDocument/2006/relationships/hyperlink" Target="consultantplus://offline/ref=E6253F76ECBDE74FDB2F867513BE2A51D3C727D48C59EBC721662C24D5ACCA26860023736461C62D026FF3EC67E44650856FD44451W658J" TargetMode="External"/><Relationship Id="rId20" Type="http://schemas.openxmlformats.org/officeDocument/2006/relationships/hyperlink" Target="consultantplus://offline/ref=0FEB93647ABC25D5306F6FE80B397EEB5B95E4B9E5BDB657904A9D8273A818AB6DABCA69C5E46A1B4B1BE81A88pAtDG" TargetMode="External"/><Relationship Id="rId21" Type="http://schemas.openxmlformats.org/officeDocument/2006/relationships/hyperlink" Target="consultantplus://offline/ref=0FEB93647ABC25D5306F6FE80B397EEB5B9BE2B0ECBCB657904A9D8273A818AB6DABCA69C5E46A1B4B1BE81A88pAtDG" TargetMode="External"/><Relationship Id="rId22" Type="http://schemas.openxmlformats.org/officeDocument/2006/relationships/hyperlink" Target="consultantplus://offline/ref=67770C8F6ECA82DC6C49E20C511B316727E943E18246540F99A97D54E83B07318F1CE2BA1E1C1253DDF643B575C4C36DC789128B8632EAC1eEj6E" TargetMode="External"/><Relationship Id="rId23" Type="http://schemas.openxmlformats.org/officeDocument/2006/relationships/hyperlink" Target="consultantplus://offline/ref=D0D3D30027F4122E1387AFFDEBE800F76FC08BDB80FF1CFCC498B71A8EAACCA3F65B677BE932FA5B2C09E289F633E39540EDFD37168DAE9FF8j8E" TargetMode="External"/><Relationship Id="rId24" Type="http://schemas.openxmlformats.org/officeDocument/2006/relationships/hyperlink" Target="consultantplus://offline/ref=C597D9C97098471EF2EB028C3AB955096D148223D9D9216D95F24991ACD620142AE3DAC5872E16B217E82A4670F6695A672EE08265467805FEC0A9E5O9N9F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revision>6</cp:revision>
  <dcterms:created xsi:type="dcterms:W3CDTF">2026-04-07T03:56:00Z</dcterms:created>
  <dcterms:modified xsi:type="dcterms:W3CDTF">2026-05-22T05:07:57Z</dcterms:modified>
</cp:coreProperties>
</file>