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bidi w:val="0"/>
        <w:spacing w:before="120" w:after="0"/>
        <w:ind w:left="0" w:right="0" w:hanging="0"/>
        <w:jc w:val="center"/>
        <w:rPr>
          <w:rFonts w:ascii="PT Astra Serif" w:hAnsi="PT Astra Serif"/>
        </w:rPr>
      </w:pPr>
      <w:bookmarkStart w:id="0" w:name="ТекстовоеПоле2"/>
      <w:bookmarkEnd w:id="0"/>
      <w:r>
        <w:rPr>
          <w:rFonts w:ascii="PT Astra Serif" w:hAnsi="PT Astra Serif"/>
          <w:b/>
          <w:szCs w:val="28"/>
        </w:rPr>
        <w:t>РАСПОРЯЖЕНИЕ</w:t>
      </w:r>
    </w:p>
    <w:p>
      <w:pPr>
        <w:pStyle w:val="Style19"/>
        <w:tabs>
          <w:tab w:val="clear" w:pos="720"/>
          <w:tab w:val="right" w:pos="1276" w:leader="none"/>
          <w:tab w:val="left" w:pos="7938" w:leader="none"/>
        </w:tabs>
        <w:bidi w:val="0"/>
        <w:spacing w:before="480" w:after="0"/>
        <w:ind w:left="0" w:right="0" w:hanging="0"/>
        <w:rPr>
          <w:rFonts w:ascii="PT Astra Serif" w:hAnsi="PT Astra Serif"/>
        </w:rPr>
      </w:pPr>
      <w:r>
        <w:rPr>
          <w:rFonts w:ascii="PT Astra Serif" w:hAnsi="PT Astra Serif"/>
          <w:color w:val="FFFFFF"/>
          <w:szCs w:val="28"/>
        </w:rPr>
        <w:t>01</w:t>
      </w:r>
      <w:r>
        <w:rPr>
          <w:rFonts w:ascii="PT Astra Serif" w:hAnsi="PT Astra Serif"/>
          <w:szCs w:val="28"/>
        </w:rPr>
        <w:t>.</w:t>
      </w:r>
      <w:r>
        <w:rPr>
          <w:rFonts w:ascii="PT Astra Serif" w:hAnsi="PT Astra Serif"/>
          <w:color w:val="FFFFFF"/>
          <w:szCs w:val="28"/>
        </w:rPr>
        <w:t>02</w:t>
      </w:r>
      <w:r>
        <w:rPr>
          <w:rFonts w:ascii="PT Astra Serif" w:hAnsi="PT Astra Serif"/>
          <w:szCs w:val="28"/>
        </w:rPr>
        <w:t>.202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2</w:t>
      </w:r>
      <w:r>
        <w:rPr>
          <w:rFonts w:ascii="PT Astra Serif" w:hAnsi="PT Astra Serif"/>
          <w:szCs w:val="28"/>
        </w:rPr>
        <w:t xml:space="preserve">                                                                                               № </w:t>
      </w:r>
      <w:r>
        <w:rPr>
          <w:rFonts w:ascii="PT Astra Serif" w:hAnsi="PT Astra Serif"/>
          <w:color w:val="FFFFFF"/>
          <w:szCs w:val="28"/>
        </w:rPr>
        <w:t>1555</w:t>
      </w:r>
      <w:r>
        <w:rPr>
          <w:rFonts w:ascii="PT Astra Serif" w:hAnsi="PT Astra Serif"/>
          <w:szCs w:val="28"/>
        </w:rPr>
        <w:t>/01-10</w:t>
      </w:r>
    </w:p>
    <w:p>
      <w:pPr>
        <w:pStyle w:val="ConsPlusNormal"/>
        <w:widowControl w:val="false"/>
        <w:bidi w:val="0"/>
        <w:spacing w:before="0" w:after="0"/>
        <w:ind w:left="0" w:right="0" w:hanging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cs="Times New Roman" w:ascii="PT Astra Serif" w:hAnsi="PT Astra Serif"/>
          <w:sz w:val="26"/>
          <w:szCs w:val="26"/>
        </w:rPr>
      </w:r>
    </w:p>
    <w:p>
      <w:pPr>
        <w:pStyle w:val="ConsPlusNormal"/>
        <w:widowControl w:val="false"/>
        <w:bidi w:val="0"/>
        <w:spacing w:before="0" w:after="0"/>
        <w:ind w:left="0" w:right="0" w:hanging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cs="Times New Roman" w:ascii="PT Astra Serif" w:hAnsi="PT Astra Serif"/>
          <w:sz w:val="26"/>
          <w:szCs w:val="26"/>
        </w:rPr>
      </w:r>
    </w:p>
    <w:p>
      <w:pPr>
        <w:pStyle w:val="ConsPlusNormal"/>
        <w:widowControl w:val="false"/>
        <w:bidi w:val="0"/>
        <w:spacing w:before="0" w:after="0"/>
        <w:ind w:left="0" w:right="0" w:hanging="0"/>
        <w:jc w:val="center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Об</w:t>
      </w:r>
      <w:r>
        <w:rPr>
          <w:rFonts w:cs="Times New Roman" w:ascii="PT Astra Serif" w:hAnsi="PT Astra Serif"/>
          <w:sz w:val="28"/>
          <w:szCs w:val="28"/>
          <w:lang w:val="ru-RU"/>
        </w:rPr>
        <w:t xml:space="preserve"> утверждении </w:t>
      </w: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 xml:space="preserve">программы профилактики рисков </w:t>
      </w:r>
    </w:p>
    <w:p>
      <w:pPr>
        <w:pStyle w:val="ConsPlusNormal"/>
        <w:widowControl w:val="false"/>
        <w:bidi w:val="0"/>
        <w:spacing w:before="0" w:after="0"/>
        <w:ind w:left="0" w:right="0" w:hanging="0"/>
        <w:jc w:val="center"/>
        <w:rPr>
          <w:rFonts w:ascii="PT Astra Serif" w:hAnsi="PT Astra Serif"/>
        </w:rPr>
      </w:pP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>причинения вреда  (ущерба)</w:t>
      </w:r>
    </w:p>
    <w:p>
      <w:pPr>
        <w:pStyle w:val="ConsPlusNormal"/>
        <w:widowControl w:val="false"/>
        <w:bidi w:val="0"/>
        <w:spacing w:before="0" w:after="0"/>
        <w:ind w:left="0" w:right="0" w:hanging="0"/>
        <w:jc w:val="center"/>
        <w:rPr>
          <w:rFonts w:ascii="PT Astra Serif" w:hAnsi="PT Astra Serif" w:eastAsia="Times New Roman" w:cs="Times New Roman"/>
          <w:color w:val="auto"/>
          <w:sz w:val="28"/>
          <w:szCs w:val="28"/>
          <w:lang w:val="ru-RU" w:eastAsia="zh-CN" w:bidi="ar-SA"/>
        </w:rPr>
      </w:pP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>охраняемым законом ценностям на 202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4</w:t>
      </w: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 xml:space="preserve"> год </w:t>
      </w:r>
    </w:p>
    <w:p>
      <w:pPr>
        <w:pStyle w:val="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737"/>
        <w:jc w:val="both"/>
        <w:rPr/>
      </w:pPr>
      <w:r>
        <w:rPr>
          <w:rFonts w:ascii="PT Astra Serif" w:hAnsi="PT Astra Serif"/>
          <w:sz w:val="28"/>
          <w:szCs w:val="28"/>
        </w:rPr>
        <w:t xml:space="preserve">1. В соответствии со статьей 44 </w:t>
      </w:r>
      <w:r>
        <w:rPr>
          <w:rFonts w:cs="PT Astra Serif" w:ascii="PT Astra Serif" w:hAnsi="PT Astra Serif"/>
          <w:sz w:val="28"/>
          <w:szCs w:val="28"/>
        </w:rPr>
        <w:t xml:space="preserve">Федерального закона от </w:t>
      </w:r>
      <w:r>
        <w:rPr>
          <w:rFonts w:eastAsia="Times New Roman" w:cs="PT Astra Serif" w:ascii="PT Astra Serif" w:hAnsi="PT Astra Serif"/>
          <w:color w:val="auto"/>
          <w:sz w:val="28"/>
          <w:szCs w:val="28"/>
          <w:lang w:val="ru-RU" w:eastAsia="zh-CN" w:bidi="ar-SA"/>
        </w:rPr>
        <w:t>31</w:t>
      </w:r>
      <w:r>
        <w:rPr>
          <w:rFonts w:cs="PT Astra Serif" w:ascii="PT Astra Serif" w:hAnsi="PT Astra Serif"/>
          <w:sz w:val="28"/>
          <w:szCs w:val="28"/>
        </w:rPr>
        <w:t xml:space="preserve"> июля 2020 года № 248-ФЗ «О государственном контроле (надзоре) и муниципальном контроле в Российской Федерации» и Постановлением Правительства Российской Федерации </w:t>
      </w:r>
      <w:r>
        <w:rPr>
          <w:rFonts w:ascii="PT Astra Serif" w:hAnsi="PT Astra Serif"/>
          <w:b w:val="false"/>
          <w:i w:val="false"/>
          <w:strike w:val="false"/>
          <w:dstrike w:val="false"/>
          <w:sz w:val="28"/>
          <w:szCs w:val="28"/>
          <w:u w:val="none"/>
        </w:rPr>
        <w:t xml:space="preserve">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</w:t>
      </w:r>
      <w:r>
        <w:rPr>
          <w:rFonts w:ascii="PT Astra Serif" w:hAnsi="PT Astra Serif"/>
          <w:sz w:val="28"/>
          <w:szCs w:val="28"/>
        </w:rPr>
        <w:t xml:space="preserve">утвердить </w:t>
      </w: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>программу профилактики рисков причинения вреда  (ущерба) охраняемым законом ценностям на 202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4</w:t>
      </w: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 xml:space="preserve"> год</w:t>
      </w:r>
      <w:r>
        <w:rPr>
          <w:rFonts w:ascii="PT Astra Serif" w:hAnsi="PT Astra Serif"/>
          <w:sz w:val="28"/>
          <w:szCs w:val="28"/>
        </w:rPr>
        <w:t xml:space="preserve"> согласно приложению к настоящему распоряжению.</w:t>
      </w:r>
    </w:p>
    <w:p>
      <w:pPr>
        <w:pStyle w:val="Normal"/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2. Климанову Андрею Валерьевичу, главному специалисту комитета кадровой политики и организационно-правовой работы Департамента по культуре Томской области, разместить данное распоряжение на официальном сайте Департамента по культуре Томской области</w:t>
      </w:r>
      <w:r>
        <w:rPr>
          <w:rFonts w:eastAsia="Calibri" w:ascii="PT Astra Serif" w:hAnsi="PT Astra Serif"/>
          <w:sz w:val="28"/>
          <w:szCs w:val="28"/>
        </w:rPr>
        <w:t>.</w:t>
      </w:r>
    </w:p>
    <w:p>
      <w:pPr>
        <w:pStyle w:val="Normal"/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  <w:sz w:val="28"/>
          <w:szCs w:val="28"/>
          <w:highlight w:val="white"/>
        </w:rPr>
        <w:t>3. Контроль за исполнением настоящего распоряжения оставляю за собой.</w:t>
      </w:r>
    </w:p>
    <w:p>
      <w:pPr>
        <w:pStyle w:val="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19"/>
        <w:bidi w:val="0"/>
        <w:ind w:left="0" w:right="0" w:hanging="0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И.о. начальника Департамента</w:t>
        <w:tab/>
        <w:t xml:space="preserve">                                                  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Е.М. Шагова</w:t>
      </w:r>
      <w:r>
        <w:rPr>
          <w:rFonts w:ascii="PT Astra Serif" w:hAnsi="PT Astra Serif"/>
          <w:sz w:val="28"/>
          <w:szCs w:val="28"/>
        </w:rPr>
        <w:br/>
      </w:r>
    </w:p>
    <w:p>
      <w:pPr>
        <w:pStyle w:val="Style19"/>
        <w:bidi w:val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</w:rPr>
      </w:pPr>
      <w:r>
        <w:rPr>
          <w:rFonts w:ascii="PT Astra Serif" w:hAnsi="PT Astra Serif"/>
          <w:sz w:val="20"/>
          <w:szCs w:val="20"/>
        </w:rPr>
        <w:t>Л.В.Кодочигова</w:t>
      </w:r>
    </w:p>
    <w:p>
      <w:pPr>
        <w:pStyle w:val="ConsPlusNormal"/>
        <w:widowControl w:val="false"/>
        <w:bidi w:val="0"/>
        <w:ind w:left="5669" w:right="0" w:hanging="0"/>
        <w:jc w:val="left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Приложение к распоряжению</w:t>
      </w:r>
    </w:p>
    <w:p>
      <w:pPr>
        <w:pStyle w:val="ConsPlusNormal"/>
        <w:widowControl w:val="false"/>
        <w:bidi w:val="0"/>
        <w:ind w:left="5669" w:right="0" w:hanging="0"/>
        <w:jc w:val="left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Департамента по культуре Томской области</w:t>
      </w:r>
    </w:p>
    <w:p>
      <w:pPr>
        <w:pStyle w:val="ConsPlusNormal"/>
        <w:widowControl w:val="false"/>
        <w:bidi w:val="0"/>
        <w:ind w:left="5669" w:right="0" w:hanging="0"/>
        <w:jc w:val="left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от _______________№_________</w:t>
      </w:r>
    </w:p>
    <w:p>
      <w:pPr>
        <w:pStyle w:val="ConsPlusNormal"/>
        <w:widowControl w:val="false"/>
        <w:bidi w:val="0"/>
        <w:ind w:left="5669" w:right="0" w:hanging="0"/>
        <w:jc w:val="left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Normal"/>
        <w:widowControl w:val="false"/>
        <w:bidi w:val="0"/>
        <w:spacing w:before="0" w:after="0"/>
        <w:ind w:left="0" w:right="0" w:hanging="0"/>
        <w:jc w:val="center"/>
        <w:rPr>
          <w:rFonts w:ascii="PT Astra Serif" w:hAnsi="PT Astra Serif" w:eastAsia="Times New Roman" w:cs="Times New Roman"/>
          <w:color w:val="auto"/>
          <w:sz w:val="28"/>
          <w:szCs w:val="28"/>
          <w:lang w:val="ru-RU" w:eastAsia="zh-CN" w:bidi="ar-SA"/>
        </w:rPr>
      </w:pP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>Программа профилактики рисков причинения вреда  (ущерба)</w:t>
      </w:r>
    </w:p>
    <w:p>
      <w:pPr>
        <w:pStyle w:val="Normal"/>
        <w:widowControl w:val="false"/>
        <w:bidi w:val="0"/>
        <w:spacing w:before="0" w:after="0"/>
        <w:ind w:left="0" w:right="0" w:hanging="0"/>
        <w:jc w:val="center"/>
        <w:rPr>
          <w:rFonts w:ascii="PT Astra Serif" w:hAnsi="PT Astra Serif" w:eastAsia="Times New Roman" w:cs="Times New Roman"/>
          <w:color w:val="auto"/>
          <w:sz w:val="28"/>
          <w:szCs w:val="28"/>
          <w:lang w:val="ru-RU" w:eastAsia="zh-CN" w:bidi="ar-SA"/>
        </w:rPr>
      </w:pP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>охраняемым законом ценностям на 202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4</w:t>
      </w: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 xml:space="preserve"> год </w:t>
      </w:r>
    </w:p>
    <w:p>
      <w:pPr>
        <w:pStyle w:val="ConsPlusNormal"/>
        <w:bidi w:val="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rmal"/>
        <w:bidi w:val="0"/>
        <w:jc w:val="center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Общие положения</w:t>
      </w:r>
    </w:p>
    <w:p>
      <w:pPr>
        <w:pStyle w:val="ConsPlusNormal"/>
        <w:bidi w:val="0"/>
        <w:ind w:left="0" w:right="0" w:firstLine="851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rmal"/>
        <w:bidi w:val="0"/>
        <w:ind w:left="0" w:right="0" w:firstLine="851"/>
        <w:jc w:val="both"/>
        <w:rPr/>
      </w:pPr>
      <w:r>
        <w:rPr>
          <w:rFonts w:cs="Times New Roman" w:ascii="PT Astra Serif" w:hAnsi="PT Astra Serif"/>
          <w:sz w:val="28"/>
          <w:szCs w:val="28"/>
        </w:rPr>
        <w:t xml:space="preserve">Настоящая </w:t>
      </w:r>
      <w:bookmarkStart w:id="1" w:name="__DdeLink__632_1561618546"/>
      <w:bookmarkEnd w:id="1"/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>программа профилактики рисков причинения вреда  (ущерба) охраняемым законом ценностям на 202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4</w:t>
      </w: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 xml:space="preserve"> год</w:t>
      </w:r>
      <w:bookmarkStart w:id="2" w:name="__DdeLink__4307_3445295840"/>
      <w:r>
        <w:rPr>
          <w:rFonts w:cs="Times New Roman" w:ascii="PT Astra Serif" w:hAnsi="PT Astra Serif"/>
          <w:sz w:val="28"/>
          <w:szCs w:val="28"/>
        </w:rPr>
        <w:t xml:space="preserve"> </w:t>
      </w:r>
      <w:bookmarkEnd w:id="2"/>
      <w:r>
        <w:rPr>
          <w:rFonts w:cs="Times New Roman" w:ascii="PT Astra Serif" w:hAnsi="PT Astra Serif"/>
          <w:sz w:val="28"/>
          <w:szCs w:val="28"/>
        </w:rPr>
        <w:t xml:space="preserve">(далее – Программа), разработана в целях предупреждения нарушения юридическими лицами и индивидуальными предпринимателями (далее – </w:t>
      </w: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>контролируемые лица</w:t>
      </w:r>
      <w:r>
        <w:rPr>
          <w:rFonts w:cs="Times New Roman" w:ascii="PT Astra Serif" w:hAnsi="PT Astra Serif"/>
          <w:sz w:val="28"/>
          <w:szCs w:val="28"/>
        </w:rPr>
        <w:t>) обязательных требований,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cs="Times New Roman" w:ascii="PT Astra Serif" w:hAnsi="PT Astra Serif"/>
          <w:sz w:val="28"/>
          <w:szCs w:val="28"/>
        </w:rPr>
        <w:t xml:space="preserve">соблюдение которых оценивается Департаментом по культуре Томской области (далее – Департамент) при осуществлении регионального государственного контроля (надзора) за соблюдением законодательства об архивном деле </w:t>
      </w: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>на территории</w:t>
      </w:r>
      <w:r>
        <w:rPr>
          <w:rFonts w:cs="Times New Roman" w:ascii="PT Astra Serif" w:hAnsi="PT Astra Serif"/>
          <w:sz w:val="28"/>
          <w:szCs w:val="28"/>
        </w:rPr>
        <w:t xml:space="preserve"> Томской области (далее – контроль), устранения причин, факторов и условий, способствующих нарушению таких обязательных требований.</w:t>
      </w:r>
    </w:p>
    <w:p>
      <w:pPr>
        <w:pStyle w:val="ConsPlusNormal"/>
        <w:bidi w:val="0"/>
        <w:ind w:left="0" w:right="0" w:firstLine="851"/>
        <w:jc w:val="both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 xml:space="preserve">Организация и проведение профилактических мероприятий Департамента, направленных на предупреждение нарушения обязательных требований, осуществляется ответственными исполнителями на основании 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Перечня профилактических мероприятий, являющегося частью Программы</w:t>
      </w:r>
      <w:r>
        <w:rPr>
          <w:rFonts w:cs="Times New Roman" w:ascii="PT Astra Serif" w:hAnsi="PT Astra Serif"/>
          <w:sz w:val="28"/>
          <w:szCs w:val="28"/>
        </w:rPr>
        <w:t>.</w:t>
      </w:r>
    </w:p>
    <w:p>
      <w:pPr>
        <w:pStyle w:val="ConsPlusNormal"/>
        <w:bidi w:val="0"/>
        <w:ind w:left="0" w:right="0" w:firstLine="851"/>
        <w:jc w:val="both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Департамент ежегодно в срок до 1 февраля года, следующего за годом утверждения Программы, готовит доклад об итогах профилактических работ за год. Доклад об итогах профилактической работы должен включать в себя результаты мониторинга и уровня развития Программы и эффективности и результативности профилактических мероприятий.</w:t>
      </w:r>
    </w:p>
    <w:p>
      <w:pPr>
        <w:pStyle w:val="ConsPlusNormal"/>
        <w:bidi w:val="0"/>
        <w:ind w:left="0" w:right="0" w:firstLine="851"/>
        <w:jc w:val="both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Информация о текущих результатах профилактической работы, готовящихся и состоявшихся профилактических мероприятиях, а также Программа должны размещаться на официальном сайте Департамента.</w:t>
      </w:r>
    </w:p>
    <w:p>
      <w:pPr>
        <w:pStyle w:val="ConsPlusNormal"/>
        <w:bidi w:val="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rmal"/>
        <w:bidi w:val="0"/>
        <w:jc w:val="center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 xml:space="preserve">Анализ текущего состояния регионального государственного </w:t>
      </w:r>
    </w:p>
    <w:p>
      <w:pPr>
        <w:pStyle w:val="ConsPlusNormal"/>
        <w:bidi w:val="0"/>
        <w:jc w:val="center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контроля (надзора) за соблюдением законодательства об архивном деле, описание текущего состояния и развития профилактической деятельности Департамента, характеристика проблем, на решение которых  направлена Программа</w:t>
      </w:r>
    </w:p>
    <w:p>
      <w:pPr>
        <w:pStyle w:val="ConsPlusNormal"/>
        <w:bidi w:val="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31"/>
        <w:shd w:val="clear" w:fill="FFFFFF"/>
        <w:spacing w:lineRule="auto" w:line="240" w:before="0" w:after="0"/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В деятельности организаций ежегодно образуется значительный объем документов, имеющих историческую ценность и социальную значимость. Во всех организациях создаются личные дела работников, лицевые счета и другие документы, подтверждающие размер заработной платы, документы о награждении. Организации-источники комплектования государственных и муниципальных архивов создают документы, которые могут быть включены в состав Архивного фонда Российской Федерации и в дальнейшем отнесены к числу особо ценных и уникальных документов Томской области.  Государственные и муниципальные архивы осуществляют хранение, комплектование, учет и использование документов Архивного фонда Российской Федерации и других архивных документов. </w:t>
      </w:r>
    </w:p>
    <w:p>
      <w:pPr>
        <w:pStyle w:val="31"/>
        <w:shd w:val="clear" w:fill="FFFFFF"/>
        <w:spacing w:lineRule="auto" w:line="240" w:before="0" w:after="0"/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Во многих организациях финансирование деятельности по упорядочению документов и обеспечение надлежащих условий хранения осуществляется по остаточному принципу, нагрузка по осуществлению этой деятельности возлагается дополнительно на специалистов, имеющих другие должностные обязанности. Это влечет нарушение законодательства об архивном деле: не производится экспертиза ценности, дела хранятся неоформленные и не описанные, что создает сложности для поиска необходимых документов и может повлечь нарушение прав граждан и организаций на предоставление информации. Ненадлежащие условия хранения создают угрозу утраты архивных документов, их физического и биологического повреждения. </w:t>
      </w:r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>Наиболее значимыми рисками деятельности в сфере архивного дела являются: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93" w:leader="none"/>
        </w:tabs>
        <w:ind w:left="0" w:right="0" w:firstLine="709"/>
        <w:jc w:val="both"/>
        <w:rPr/>
      </w:pPr>
      <w:r>
        <w:rPr>
          <w:rFonts w:ascii="PT Astra Serif" w:hAnsi="PT Astra Serif"/>
          <w:sz w:val="28"/>
          <w:szCs w:val="28"/>
        </w:rPr>
        <w:t>утрата документов Архивного фонда Российской Федерации и других архивных документов, их физическое или биологическое повреждение. В соответствии со статьей 17 Федерального закона от 22 октября 2004 года №125-ФЗ «Об архивном деле в Российской Федерации» (далее – Федеральный закон №125-ФЗ) г</w:t>
      </w:r>
      <w:r>
        <w:rPr>
          <w:rFonts w:eastAsia="Calibri" w:ascii="PT Astra Serif" w:hAnsi="PT Astra Serif"/>
          <w:sz w:val="28"/>
          <w:szCs w:val="28"/>
          <w:lang w:eastAsia="en-US"/>
        </w:rPr>
        <w:t xml:space="preserve">осударственные органы, органы местного самоуправления, организации и граждане, занимающиеся предпринимательской деятельностью без образования юридического лица, обязаны обеспечивать сохранность архивных документов, в том числе документов по личному составу, в течение </w:t>
      </w:r>
      <w:hyperlink r:id="rId2">
        <w:r>
          <w:rPr>
            <w:rFonts w:eastAsia="Calibri" w:ascii="PT Astra Serif" w:hAnsi="PT Astra Serif"/>
            <w:sz w:val="28"/>
            <w:szCs w:val="28"/>
            <w:lang w:eastAsia="en-US"/>
          </w:rPr>
          <w:t>сроков</w:t>
        </w:r>
      </w:hyperlink>
      <w:r>
        <w:rPr>
          <w:rFonts w:eastAsia="Calibri" w:ascii="PT Astra Serif" w:hAnsi="PT Astra Serif"/>
          <w:sz w:val="28"/>
          <w:szCs w:val="28"/>
          <w:lang w:eastAsia="en-US"/>
        </w:rPr>
        <w:t xml:space="preserve"> их хранения, установленных федеральными законами или иными нормативными правовыми актами Российской Федерации. </w:t>
      </w:r>
      <w:r>
        <w:rPr>
          <w:rFonts w:ascii="PT Astra Serif" w:hAnsi="PT Astra Serif"/>
          <w:sz w:val="28"/>
          <w:szCs w:val="28"/>
        </w:rPr>
        <w:t>Г</w:t>
      </w:r>
      <w:r>
        <w:rPr>
          <w:rFonts w:eastAsia="Calibri" w:ascii="PT Astra Serif" w:hAnsi="PT Astra Serif"/>
          <w:sz w:val="28"/>
          <w:szCs w:val="28"/>
          <w:lang w:eastAsia="en-US"/>
        </w:rPr>
        <w:t xml:space="preserve">осударственные органы, органы местного самоуправления, организации и граждане, занимающиеся предпринимательской деятельностью без образования юридического лица, являющиеся источниками комплектования государственных (муниципальных) архивов, обязаны также передавать документы Архивного фонда Российской Федерации на постоянное хранение в государственные (муниципальные) архивы. </w:t>
      </w:r>
      <w:r>
        <w:rPr>
          <w:rFonts w:ascii="PT Astra Serif" w:hAnsi="PT Astra Serif"/>
          <w:sz w:val="28"/>
          <w:szCs w:val="28"/>
        </w:rPr>
        <w:t>Несоблюдение этих обязанностей, либо ненадлежащее их соблюдение может повлечь утрату исторически значимой информации;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нарушение конституционного права граждан и организаций на получение информации. Утрата документов Архивного фонда Российской Федерации и других архивных документов, их физическое или биологическое повреждение влечет не только утрату исторически значимой информации, она также создает трудности или делает невозможным реализацию права граждан и организаций на получение информации, что, в свою очередь, может повлечь невозможность подтверждения трудового стажа, размера заработной платы, фактов награждения и негативно сказаться на качестве жизни граждан.</w:t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Федеральным законом №125-ФЗ предусмотрено осуществление контроля уполномоченными органами исполнительной власти субъектов Российской Федерации в области архивного дела за </w:t>
      </w:r>
      <w:r>
        <w:rPr>
          <w:rFonts w:ascii="PT Astra Serif" w:hAnsi="PT Astra Serif"/>
          <w:b w:val="false"/>
          <w:i w:val="false"/>
          <w:strike w:val="false"/>
          <w:dstrike w:val="false"/>
          <w:sz w:val="28"/>
          <w:szCs w:val="28"/>
          <w:u w:val="none"/>
        </w:rPr>
        <w:t xml:space="preserve">соблюдением обязательных </w:t>
      </w:r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>требований</w:t>
      </w:r>
      <w:r>
        <w:rPr>
          <w:rFonts w:ascii="PT Astra Serif" w:hAnsi="PT Astra Serif"/>
          <w:b w:val="false"/>
          <w:i w:val="false"/>
          <w:strike w:val="false"/>
          <w:dstrike w:val="false"/>
          <w:sz w:val="28"/>
          <w:szCs w:val="28"/>
          <w:u w:val="none"/>
        </w:rPr>
        <w:t xml:space="preserve">, установленных в соответствии с федеральными законами Российской Федерации и иными нормативными правовыми актами Российской Федерации, законами субъектов Российской Федерации и иными нормативными правовыми актами субъектов Российской Федерации, к организации хранения, комплектования, учета и использования документов Архивного фонда Российской Федерации и других архивных документов на территории соответствующего субъекта Российской Федерации, за исключением случаев, указанных в </w:t>
      </w:r>
      <w:r>
        <w:rPr>
          <w:rFonts w:ascii="PT Astra Serif" w:hAnsi="PT Astra Serif"/>
          <w:b w:val="false"/>
          <w:bCs w:val="false"/>
          <w:i w:val="false"/>
          <w:strike w:val="false"/>
          <w:dstrike w:val="false"/>
          <w:color w:val="000000"/>
          <w:sz w:val="28"/>
          <w:szCs w:val="28"/>
          <w:u w:val="none"/>
        </w:rPr>
        <w:t>пункте 1</w:t>
      </w:r>
      <w:r>
        <w:rPr>
          <w:rFonts w:ascii="PT Astra Serif" w:hAnsi="PT Astra Serif"/>
          <w:b w:val="false"/>
          <w:i w:val="false"/>
          <w:strike w:val="false"/>
          <w:dstrike w:val="false"/>
          <w:sz w:val="28"/>
          <w:szCs w:val="28"/>
          <w:u w:val="none"/>
        </w:rPr>
        <w:t xml:space="preserve"> </w:t>
      </w:r>
      <w:r>
        <w:rPr>
          <w:rFonts w:eastAsia="Times New Roman" w:cs="Times New Roman" w:ascii="PT Astra Serif" w:hAnsi="PT Astra Serif"/>
          <w:b w:val="false"/>
          <w:i w:val="false"/>
          <w:strike w:val="false"/>
          <w:dstrike w:val="false"/>
          <w:color w:val="auto"/>
          <w:kern w:val="0"/>
          <w:sz w:val="28"/>
          <w:szCs w:val="28"/>
          <w:u w:val="none"/>
          <w:lang w:val="ru-RU" w:eastAsia="zh-CN" w:bidi="ar-SA"/>
        </w:rPr>
        <w:t>части 2 статьи 16 Федерального закона № 125-ФЗ</w:t>
      </w:r>
      <w:r>
        <w:rPr>
          <w:rFonts w:ascii="PT Astra Serif" w:hAnsi="PT Astra Serif"/>
          <w:b w:val="false"/>
          <w:i w:val="false"/>
          <w:strike w:val="false"/>
          <w:dstrike w:val="false"/>
          <w:sz w:val="28"/>
          <w:szCs w:val="28"/>
          <w:u w:val="none"/>
        </w:rPr>
        <w:t>.</w:t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3">
        <w:r>
          <w:rPr>
            <w:rFonts w:eastAsia="Calibri" w:ascii="PT Astra Serif" w:hAnsi="PT Astra Serif"/>
            <w:sz w:val="28"/>
            <w:szCs w:val="28"/>
          </w:rPr>
          <w:t xml:space="preserve"> </w:t>
        </w:r>
        <w:r>
          <w:rPr>
            <w:rFonts w:ascii="PT Astra Serif" w:hAnsi="PT Astra Serif"/>
            <w:bCs/>
            <w:sz w:val="28"/>
            <w:szCs w:val="28"/>
          </w:rPr>
          <w:t xml:space="preserve">Положение о </w:t>
        </w:r>
        <w:r>
          <w:rPr>
            <w:rFonts w:ascii="PT Astra Serif" w:hAnsi="PT Astra Serif"/>
            <w:sz w:val="28"/>
            <w:szCs w:val="28"/>
          </w:rPr>
          <w:t>Департаменте по культуре Томской области, утвержденное п</w:t>
        </w:r>
        <w:r>
          <w:rPr>
            <w:rFonts w:ascii="PT Astra Serif" w:hAnsi="PT Astra Serif"/>
            <w:bCs/>
            <w:sz w:val="28"/>
            <w:szCs w:val="28"/>
          </w:rPr>
          <w:t>остановлением Губернатора</w:t>
        </w:r>
        <w:r>
          <w:rPr>
            <w:rFonts w:ascii="PT Astra Serif" w:hAnsi="PT Astra Serif"/>
            <w:sz w:val="28"/>
            <w:szCs w:val="28"/>
          </w:rPr>
          <w:t xml:space="preserve"> Томской области</w:t>
        </w:r>
        <w:r>
          <w:rPr>
            <w:rFonts w:ascii="PT Astra Serif" w:hAnsi="PT Astra Serif"/>
            <w:bCs/>
            <w:sz w:val="28"/>
            <w:szCs w:val="28"/>
          </w:rPr>
          <w:t xml:space="preserve"> от 14 ноября 2012 года №158, определяет, что таким органом государственной власти, уполномоченным осуществлять контроль </w:t>
        </w:r>
        <w:r>
          <w:rPr>
            <w:rFonts w:ascii="PT Astra Serif" w:hAnsi="PT Astra Serif"/>
            <w:sz w:val="28"/>
            <w:szCs w:val="28"/>
          </w:rPr>
          <w:t>за соблюдением законодательства об архивном деле</w:t>
        </w:r>
        <w:r>
          <w:rPr>
            <w:rFonts w:ascii="PT Astra Serif" w:hAnsi="PT Astra Serif"/>
            <w:bCs/>
            <w:sz w:val="28"/>
            <w:szCs w:val="28"/>
          </w:rPr>
          <w:t xml:space="preserve"> на территории Томской области является Департамент по культуре Томской области.</w:t>
        </w:r>
      </w:hyperlink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Контроль направлен на реализацию мер по контролю за соблюдением архивного законодательства и уменьшения вреда от нарушения этого законодательства государству и гражданам.</w:t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В соответствии с </w:t>
      </w:r>
      <w:r>
        <w:rPr>
          <w:rFonts w:ascii="PT Astra Serif" w:hAnsi="PT Astra Serif"/>
          <w:b w:val="false"/>
          <w:i w:val="false"/>
          <w:strike w:val="false"/>
          <w:dstrike w:val="false"/>
          <w:sz w:val="28"/>
          <w:szCs w:val="28"/>
          <w:u w:val="none"/>
        </w:rPr>
        <w:t xml:space="preserve">Положением о региональном государственном контроле (надзоре) за соблюдением законодательства об архивном деле на территории Томской области, утвержденным Постановлением Администрации Томской области от 01.10.2021 </w:t>
      </w:r>
      <w:r>
        <w:rPr>
          <w:rFonts w:eastAsia="Times New Roman" w:cs="Times New Roman" w:ascii="PT Astra Serif" w:hAnsi="PT Astra Serif"/>
          <w:b w:val="false"/>
          <w:i w:val="false"/>
          <w:strike w:val="false"/>
          <w:dstrike w:val="false"/>
          <w:color w:val="auto"/>
          <w:kern w:val="0"/>
          <w:sz w:val="28"/>
          <w:szCs w:val="28"/>
          <w:u w:val="none"/>
          <w:lang w:val="ru-RU" w:eastAsia="zh-CN" w:bidi="ar-SA"/>
        </w:rPr>
        <w:t>№</w:t>
      </w:r>
      <w:r>
        <w:rPr>
          <w:rFonts w:ascii="PT Astra Serif" w:hAnsi="PT Astra Serif"/>
          <w:b w:val="false"/>
          <w:i w:val="false"/>
          <w:strike w:val="false"/>
          <w:dstrike w:val="false"/>
          <w:sz w:val="28"/>
          <w:szCs w:val="28"/>
          <w:u w:val="none"/>
        </w:rPr>
        <w:t xml:space="preserve"> 419а</w:t>
      </w:r>
      <w:r>
        <w:rPr>
          <w:rFonts w:ascii="PT Astra Serif" w:hAnsi="PT Astra Serif"/>
          <w:sz w:val="28"/>
          <w:szCs w:val="28"/>
        </w:rPr>
        <w:t>, контроль в сфере архивного дела  осуществляется на основе управления рисками причинения вреда (ущерба), определяющего выбор контрольных (надзорных) мероприятий, их содержание (в том числе объем проверяемых обязательных требований в сфере архивного дела), интенсивность и результаты. Для целей управления рисками причинения вреда (ущерба) документам Архивного фонда Российской Федерации и другим архивным документам, при осуществлении контроля в сфере архивного дела объекты контроля относятся к следующим категориям риска причинения вреда (ущерба) (далее – категории риска): высокого риска, значительного риска, среднего риска, умеренного риска и низкого риска.</w:t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При отнесении объектов контроля к определенной категории риска при осуществлении контроля в сфере архивного дела учитывается тяжесть потенциальных негативных последствий возможного несоблюдения контролируемыми лицами обязательных требований в сфере архивного дела.</w:t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Результаты контроля характеризуются следующими данными.</w:t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tbl>
      <w:tblPr>
        <w:tblW w:w="97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9"/>
        <w:gridCol w:w="2069"/>
        <w:gridCol w:w="1982"/>
      </w:tblGrid>
      <w:tr>
        <w:trPr/>
        <w:tc>
          <w:tcPr>
            <w:tcW w:w="5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</w:tc>
        <w:tc>
          <w:tcPr>
            <w:tcW w:w="4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проверок в</w:t>
            </w:r>
          </w:p>
        </w:tc>
      </w:tr>
      <w:tr>
        <w:trPr/>
        <w:tc>
          <w:tcPr>
            <w:tcW w:w="56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2020 г.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2021 г.</w:t>
            </w:r>
          </w:p>
        </w:tc>
      </w:tr>
      <w:tr>
        <w:trPr/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Всего проведено проверок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14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30</w:t>
            </w:r>
          </w:p>
        </w:tc>
      </w:tr>
      <w:tr>
        <w:trPr/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отношении юридических лиц и индивидуальных предпринимателей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том числе: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firstLine="28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плановые проверки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firstLine="28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внеплановые проверки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14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9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30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28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2</w:t>
            </w:r>
          </w:p>
        </w:tc>
      </w:tr>
      <w:tr>
        <w:trPr/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отношении органов местного самоуправления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−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−</w:t>
            </w:r>
          </w:p>
        </w:tc>
      </w:tr>
    </w:tbl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4">
        <w:r>
          <w:rPr>
            <w:rFonts w:ascii="PT Astra Serif" w:hAnsi="PT Astra Serif"/>
            <w:sz w:val="28"/>
            <w:szCs w:val="28"/>
          </w:rPr>
          <w:t>В результате проверок установлены нарушения обязательных требований.</w:t>
        </w:r>
      </w:hyperlink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tbl>
      <w:tblPr>
        <w:tblW w:w="97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9"/>
        <w:gridCol w:w="2069"/>
        <w:gridCol w:w="1982"/>
      </w:tblGrid>
      <w:tr>
        <w:trPr/>
        <w:tc>
          <w:tcPr>
            <w:tcW w:w="5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Вид нарушения</w:t>
            </w:r>
          </w:p>
        </w:tc>
        <w:tc>
          <w:tcPr>
            <w:tcW w:w="4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нарушений в</w:t>
            </w:r>
          </w:p>
        </w:tc>
      </w:tr>
      <w:tr>
        <w:trPr/>
        <w:tc>
          <w:tcPr>
            <w:tcW w:w="56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2020 г.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2021  г.</w:t>
            </w:r>
          </w:p>
        </w:tc>
      </w:tr>
      <w:tr>
        <w:trPr/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Не проведена экспертиза ценности документов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2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10</w:t>
            </w:r>
          </w:p>
        </w:tc>
      </w:tr>
      <w:tr>
        <w:trPr/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5">
              <w:r>
                <w:rPr>
                  <w:rFonts w:ascii="PT Astra Serif" w:hAnsi="PT Astra Serif"/>
                  <w:sz w:val="28"/>
                  <w:szCs w:val="28"/>
                </w:rPr>
                <w:t>Не проведено полное оформление документов постоянного хранения и/или по личному составу</w:t>
              </w:r>
            </w:hyperlink>
          </w:p>
          <w:p>
            <w:pPr>
              <w:pStyle w:val="Normal"/>
              <w:ind w:left="0" w:right="0" w:firstLine="284"/>
              <w:rPr>
                <w:rFonts w:ascii="PT Astra Serif" w:hAnsi="PT Astra Serif"/>
              </w:rPr>
            </w:pPr>
            <w:hyperlink r:id="rId6">
              <w:r>
                <w:rPr>
                  <w:rFonts w:ascii="PT Astra Serif" w:hAnsi="PT Astra Serif"/>
                  <w:sz w:val="28"/>
                  <w:szCs w:val="28"/>
                </w:rPr>
                <w:t>в том числе более 10 лет</w:t>
              </w:r>
            </w:hyperlink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2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7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</w:t>
              </w:r>
            </w:hyperlink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1</w:t>
            </w:r>
            <w:r>
              <w:rPr>
                <w:rFonts w:eastAsia="Times New Roman" w:cs="Times New Roman" w:ascii="PT Astra Serif" w:hAnsi="PT Astra Serif"/>
                <w:color w:val="auto"/>
                <w:kern w:val="0"/>
                <w:sz w:val="28"/>
                <w:szCs w:val="28"/>
                <w:lang w:val="ru-RU" w:eastAsia="zh-CN" w:bidi="ar-SA"/>
              </w:rPr>
              <w:t>3</w:t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4</w:t>
            </w:r>
          </w:p>
        </w:tc>
      </w:tr>
      <w:tr>
        <w:trPr/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8">
              <w:r>
                <w:rPr>
                  <w:rFonts w:ascii="PT Astra Serif" w:hAnsi="PT Astra Serif"/>
                  <w:sz w:val="28"/>
                  <w:szCs w:val="28"/>
                </w:rPr>
                <w:t>Не составлены описи дел постоянного хранения и/или по личному составу</w:t>
              </w:r>
            </w:hyperlink>
          </w:p>
          <w:p>
            <w:pPr>
              <w:pStyle w:val="Normal"/>
              <w:ind w:left="0" w:right="0" w:firstLine="284"/>
              <w:rPr>
                <w:rFonts w:ascii="PT Astra Serif" w:hAnsi="PT Astra Serif"/>
              </w:rPr>
            </w:pPr>
            <w:hyperlink r:id="rId9">
              <w:r>
                <w:rPr>
                  <w:rFonts w:ascii="PT Astra Serif" w:hAnsi="PT Astra Serif"/>
                  <w:sz w:val="28"/>
                  <w:szCs w:val="28"/>
                </w:rPr>
                <w:t>в том числе более 10 лет</w:t>
              </w:r>
            </w:hyperlink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10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4</w:t>
              </w:r>
            </w:hyperlink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11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</w:t>
              </w:r>
            </w:hyperlink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12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16</w:t>
              </w:r>
            </w:hyperlink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5</w:t>
            </w:r>
          </w:p>
        </w:tc>
      </w:tr>
      <w:tr>
        <w:trPr/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13">
              <w:r>
                <w:rPr>
                  <w:rFonts w:ascii="PT Astra Serif" w:hAnsi="PT Astra Serif"/>
                  <w:sz w:val="28"/>
                  <w:szCs w:val="28"/>
                </w:rPr>
                <w:t>Нарушен установленный порядок хранения архивных документов</w:t>
              </w:r>
            </w:hyperlink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14">
              <w:r>
                <w:rPr>
                  <w:rFonts w:eastAsia="Times New Roman" w:cs="Times New Roman" w:ascii="PT Astra Serif" w:hAnsi="PT Astra Serif"/>
                  <w:color w:val="auto"/>
                  <w:kern w:val="0"/>
                  <w:sz w:val="28"/>
                  <w:szCs w:val="28"/>
                  <w:lang w:val="ru-RU" w:eastAsia="ru-RU" w:bidi="ar-SA"/>
                </w:rPr>
                <w:t>2</w:t>
              </w:r>
            </w:hyperlink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15">
              <w:r>
                <w:rPr>
                  <w:rFonts w:eastAsia="Times New Roman" w:cs="Times New Roman" w:ascii="PT Astra Serif" w:hAnsi="PT Astra Serif"/>
                  <w:color w:val="auto"/>
                  <w:kern w:val="0"/>
                  <w:sz w:val="28"/>
                  <w:szCs w:val="28"/>
                  <w:lang w:val="ru-RU" w:eastAsia="ru-RU" w:bidi="ar-SA"/>
                </w:rPr>
                <w:t>8</w:t>
              </w:r>
            </w:hyperlink>
          </w:p>
        </w:tc>
      </w:tr>
      <w:tr>
        <w:trPr/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16">
              <w:r>
                <w:rPr>
                  <w:rFonts w:ascii="PT Astra Serif" w:hAnsi="PT Astra Serif"/>
                  <w:sz w:val="28"/>
                  <w:szCs w:val="28"/>
                </w:rPr>
                <w:t>Нарушен порядок составления и/или внедрения номенклатуры дел</w:t>
              </w:r>
            </w:hyperlink>
          </w:p>
          <w:p>
            <w:pPr>
              <w:pStyle w:val="Normal"/>
              <w:ind w:left="0" w:right="0" w:firstLine="284"/>
              <w:rPr>
                <w:rFonts w:ascii="PT Astra Serif" w:hAnsi="PT Astra Serif"/>
              </w:rPr>
            </w:pPr>
            <w:hyperlink r:id="rId17">
              <w:r>
                <w:rPr>
                  <w:rFonts w:ascii="PT Astra Serif" w:hAnsi="PT Astra Serif"/>
                  <w:sz w:val="28"/>
                  <w:szCs w:val="28"/>
                </w:rPr>
                <w:t>в том числе нарушены сроки согласования номенклатуры дел с ЭПК Департамента</w:t>
              </w:r>
            </w:hyperlink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18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</w:t>
              </w:r>
            </w:hyperlink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19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−</w:t>
              </w:r>
            </w:hyperlink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20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3</w:t>
              </w:r>
            </w:hyperlink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>2</w:t>
            </w:r>
          </w:p>
        </w:tc>
      </w:tr>
      <w:tr>
        <w:trPr/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21">
              <w:r>
                <w:rPr>
                  <w:rFonts w:ascii="PT Astra Serif" w:hAnsi="PT Astra Serif"/>
                  <w:sz w:val="28"/>
                  <w:szCs w:val="28"/>
                </w:rPr>
                <w:t>В архивохранилище отсутствуют архивные документы. Более 10 лет не проводилась проверка наличия и состояния документов.</w:t>
              </w:r>
            </w:hyperlink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22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−</w:t>
              </w:r>
            </w:hyperlink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23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</w:t>
              </w:r>
            </w:hyperlink>
          </w:p>
        </w:tc>
      </w:tr>
      <w:tr>
        <w:trPr/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24">
              <w:r>
                <w:rPr>
                  <w:rFonts w:ascii="PT Astra Serif" w:hAnsi="PT Astra Serif"/>
                  <w:sz w:val="28"/>
                  <w:szCs w:val="28"/>
                </w:rPr>
                <w:t>Нарушены сроки передачи документов на постоянное хранение в государственный (муниципальный) архив</w:t>
              </w:r>
            </w:hyperlink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25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</w:t>
              </w:r>
            </w:hyperlink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26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</w:t>
              </w:r>
            </w:hyperlink>
          </w:p>
        </w:tc>
      </w:tr>
      <w:tr>
        <w:trPr/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27">
              <w:r>
                <w:rPr>
                  <w:rFonts w:ascii="PT Astra Serif" w:hAnsi="PT Astra Serif"/>
                  <w:sz w:val="28"/>
                  <w:szCs w:val="28"/>
                </w:rPr>
                <w:t>Нарушение правил оформления дел</w:t>
              </w:r>
            </w:hyperlink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28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1</w:t>
              </w:r>
            </w:hyperlink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tabs>
                <w:tab w:val="clear" w:pos="720"/>
                <w:tab w:val="left" w:pos="993" w:leader="none"/>
              </w:tabs>
              <w:ind w:left="0" w:right="0" w:hanging="0"/>
              <w:jc w:val="center"/>
              <w:rPr>
                <w:rFonts w:ascii="PT Astra Serif" w:hAnsi="PT Astra Serif"/>
              </w:rPr>
            </w:pPr>
            <w:hyperlink r:id="rId29">
              <w:r>
                <w:rPr>
                  <w:rFonts w:ascii="PT Astra Serif" w:hAnsi="PT Astra Serif"/>
                  <w:sz w:val="28"/>
                  <w:szCs w:val="28"/>
                  <w:lang w:val="ru-RU"/>
                </w:rPr>
                <w:t>2</w:t>
              </w:r>
            </w:hyperlink>
          </w:p>
        </w:tc>
      </w:tr>
    </w:tbl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30">
        <w:r>
          <w:rPr>
            <w:rFonts w:ascii="PT Astra Serif" w:hAnsi="PT Astra Serif"/>
            <w:sz w:val="28"/>
            <w:szCs w:val="28"/>
          </w:rPr>
          <w:t>По результатам проверок в связи с выявленными нарушениями обязательных требований Департаментом было вынесено предписаний:</w:t>
        </w:r>
      </w:hyperlink>
    </w:p>
    <w:p>
      <w:pPr>
        <w:pStyle w:val="ListParagraph"/>
        <w:widowControl/>
        <w:tabs>
          <w:tab w:val="clear" w:pos="720"/>
          <w:tab w:val="left" w:pos="993" w:leader="none"/>
        </w:tabs>
        <w:bidi w:val="0"/>
        <w:spacing w:before="0" w:after="0"/>
        <w:ind w:left="0" w:right="0" w:firstLine="737"/>
        <w:contextualSpacing/>
        <w:jc w:val="left"/>
        <w:rPr>
          <w:rFonts w:ascii="PT Astra Serif" w:hAnsi="PT Astra Serif"/>
        </w:rPr>
      </w:pPr>
      <w:hyperlink r:id="rId31">
        <w:r>
          <w:rPr>
            <w:rFonts w:ascii="PT Astra Serif" w:hAnsi="PT Astra Serif"/>
            <w:sz w:val="28"/>
            <w:szCs w:val="28"/>
          </w:rPr>
          <w:t xml:space="preserve">− </w:t>
        </w:r>
        <w:r>
          <w:rPr>
            <w:rFonts w:ascii="PT Astra Serif" w:hAnsi="PT Astra Serif"/>
            <w:sz w:val="28"/>
            <w:szCs w:val="28"/>
          </w:rPr>
          <w:t>в 2020 году – 4</w:t>
        </w:r>
      </w:hyperlink>
      <w:r>
        <w:rPr>
          <w:rFonts w:ascii="PT Astra Serif" w:hAnsi="PT Astra Serif"/>
          <w:sz w:val="28"/>
          <w:szCs w:val="28"/>
        </w:rPr>
        <w:t>;</w:t>
      </w:r>
    </w:p>
    <w:p>
      <w:pPr>
        <w:pStyle w:val="ListParagraph"/>
        <w:widowControl/>
        <w:tabs>
          <w:tab w:val="clear" w:pos="720"/>
          <w:tab w:val="left" w:pos="993" w:leader="none"/>
        </w:tabs>
        <w:bidi w:val="0"/>
        <w:spacing w:before="0" w:after="0"/>
        <w:ind w:left="0" w:right="0" w:firstLine="737"/>
        <w:contextualSpacing/>
        <w:jc w:val="left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– </w:t>
      </w:r>
      <w:r>
        <w:rPr>
          <w:rFonts w:ascii="PT Astra Serif" w:hAnsi="PT Astra Serif"/>
          <w:sz w:val="28"/>
          <w:szCs w:val="28"/>
        </w:rPr>
        <w:t>в 2021 году – 20.</w:t>
      </w:r>
    </w:p>
    <w:p>
      <w:pPr>
        <w:pStyle w:val="ListParagraph"/>
        <w:widowControl/>
        <w:tabs>
          <w:tab w:val="clear" w:pos="720"/>
          <w:tab w:val="left" w:pos="993" w:leader="none"/>
        </w:tabs>
        <w:bidi w:val="0"/>
        <w:spacing w:before="0" w:after="0"/>
        <w:ind w:left="0" w:right="0" w:firstLine="737"/>
        <w:contextualSpacing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В октябр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е</w:t>
      </w:r>
      <w:r>
        <w:rPr>
          <w:rFonts w:ascii="PT Astra Serif" w:hAnsi="PT Astra Serif"/>
          <w:sz w:val="28"/>
          <w:szCs w:val="28"/>
        </w:rPr>
        <w:t>-декабре 2021 года и в 2022 году контрольные (надзорные) мероприятия, а также профилактические мероприятия проводятся в соответствии с Федеральным законом от 31 июля 2020 года № 248-ФЗ «О государственном контроле (надзоре) и муниципальном контроле в Российской Федерации». Во исполнение него принят целый ряд нормативных правовых документов федерального  и регионального уровня.</w:t>
      </w:r>
    </w:p>
    <w:p>
      <w:pPr>
        <w:pStyle w:val="ListParagraph"/>
        <w:widowControl/>
        <w:tabs>
          <w:tab w:val="clear" w:pos="720"/>
          <w:tab w:val="left" w:pos="993" w:leader="none"/>
        </w:tabs>
        <w:bidi w:val="0"/>
        <w:spacing w:before="0" w:after="0"/>
        <w:ind w:left="0" w:right="0" w:firstLine="737"/>
        <w:contextualSpacing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Так, осуществление регионального государственного контроля (надзора) за соблюдением законодательства об архивном деле на территории Томской области с 10 октября 2021 года регулируется </w:t>
      </w:r>
      <w:r>
        <w:rPr>
          <w:rFonts w:ascii="PT Astra Serif" w:hAnsi="PT Astra Serif"/>
          <w:b w:val="false"/>
          <w:i w:val="false"/>
          <w:strike w:val="false"/>
          <w:dstrike w:val="false"/>
          <w:sz w:val="28"/>
          <w:szCs w:val="28"/>
          <w:u w:val="none"/>
        </w:rPr>
        <w:t xml:space="preserve">Постановлением Администрации Томской области от 01.10.2021 </w:t>
      </w:r>
      <w:r>
        <w:rPr>
          <w:rFonts w:eastAsia="Times New Roman" w:cs="Times New Roman" w:ascii="PT Astra Serif" w:hAnsi="PT Astra Serif"/>
          <w:b w:val="false"/>
          <w:i w:val="false"/>
          <w:strike w:val="false"/>
          <w:dstrike w:val="false"/>
          <w:color w:val="auto"/>
          <w:kern w:val="0"/>
          <w:sz w:val="28"/>
          <w:szCs w:val="28"/>
          <w:u w:val="none"/>
          <w:lang w:val="ru-RU" w:eastAsia="zh-CN" w:bidi="ar-SA"/>
        </w:rPr>
        <w:t>№</w:t>
      </w:r>
      <w:r>
        <w:rPr>
          <w:rFonts w:ascii="PT Astra Serif" w:hAnsi="PT Astra Serif"/>
          <w:b w:val="false"/>
          <w:i w:val="false"/>
          <w:strike w:val="false"/>
          <w:dstrike w:val="false"/>
          <w:sz w:val="28"/>
          <w:szCs w:val="28"/>
          <w:u w:val="none"/>
        </w:rPr>
        <w:t xml:space="preserve"> 419а «Об утверждении Положения о региональном государственном контроле (надзоре) за соблюдением законодательства об архивном деле на территории Томской области». Приказ Департамента по культуре и туризму Томской области от 6 марта 2017 года     № 048/01-09 «Об утверждении Административного регламента осуществления регионального государственного контроля за соблюдением законодательства об архивном деле» утратил силу.</w:t>
      </w:r>
    </w:p>
    <w:p>
      <w:pPr>
        <w:pStyle w:val="ListParagraph"/>
        <w:widowControl/>
        <w:tabs>
          <w:tab w:val="clear" w:pos="720"/>
          <w:tab w:val="left" w:pos="993" w:leader="none"/>
        </w:tabs>
        <w:bidi w:val="0"/>
        <w:spacing w:before="0" w:after="0"/>
        <w:ind w:left="0" w:right="0" w:firstLine="737"/>
        <w:contextualSpacing/>
        <w:jc w:val="both"/>
        <w:rPr>
          <w:rFonts w:ascii="PT Astra Serif" w:hAnsi="PT Astra Serif"/>
        </w:rPr>
      </w:pPr>
      <w:r>
        <w:rPr>
          <w:rFonts w:ascii="PT Astra Serif" w:hAnsi="PT Astra Serif"/>
          <w:b w:val="false"/>
          <w:i w:val="false"/>
          <w:strike w:val="false"/>
          <w:dstrike w:val="false"/>
          <w:sz w:val="28"/>
          <w:szCs w:val="28"/>
          <w:u w:val="none"/>
        </w:rPr>
        <w:t>В 2022–2023 годах проведение контрольных (надзорных) мероприятий ограничено Постановлением Правительства Российской Федерации от 10 марта 2022 года № 336 «Об особенностях организации и осуществления государственного контроля (надзора), муниципального контроля». В связи с этим деятельность Департамента по культуре Томской области была сосредоточена на проведении профилактических мероприятий.</w:t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В целях профилактики нарушений обязательных требований по состоянию на сентябрь 2023 года Департаментом проведены следующие профилактические мероприятия:</w:t>
      </w:r>
    </w:p>
    <w:p>
      <w:pPr>
        <w:pStyle w:val="ClassyRed1LTGliederung1"/>
        <w:tabs>
          <w:tab w:val="clear" w:pos="720"/>
          <w:tab w:val="left" w:pos="993" w:leader="none"/>
        </w:tabs>
        <w:bidi w:val="0"/>
        <w:spacing w:before="0" w:after="0"/>
        <w:ind w:left="0" w:right="0" w:firstLine="709"/>
        <w:jc w:val="both"/>
        <w:rPr>
          <w:rFonts w:ascii="PT Astra Serif" w:hAnsi="PT Astra Serif"/>
        </w:rPr>
      </w:pPr>
      <w:r>
        <w:rPr>
          <w:rFonts w:eastAsia="PT Astra Serif" w:cs="PT Astra Serif" w:ascii="PT Astra Serif" w:hAnsi="PT Astra Serif"/>
          <w:sz w:val="28"/>
          <w:szCs w:val="28"/>
        </w:rPr>
        <w:t xml:space="preserve">— </w:t>
      </w:r>
      <w:r>
        <w:rPr>
          <w:rFonts w:ascii="PT Astra Serif" w:hAnsi="PT Astra Serif"/>
          <w:sz w:val="28"/>
          <w:szCs w:val="28"/>
        </w:rPr>
        <w:t xml:space="preserve">разработана и размещена на официальном сайте Департамента </w:t>
      </w: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>программа профилактики рисков причинения вреда  (ущерба) охраняемым законом ценностям на 202</w:t>
      </w:r>
      <w:r>
        <w:rPr>
          <w:rFonts w:eastAsia="Times New Roman" w:cs="Times New Roman" w:ascii="PT Astra Serif" w:hAnsi="PT Astra Serif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ru-RU" w:eastAsia="zh-CN" w:bidi="ar-SA"/>
        </w:rPr>
        <w:t>3</w:t>
      </w:r>
      <w:r>
        <w:rPr>
          <w:rFonts w:eastAsia="Times New Roman" w:cs="Times New Roman" w:ascii="PT Astra Serif" w:hAnsi="PT Astra Serif"/>
          <w:color w:val="auto"/>
          <w:sz w:val="28"/>
          <w:szCs w:val="28"/>
          <w:lang w:val="ru-RU" w:eastAsia="zh-CN" w:bidi="ar-SA"/>
        </w:rPr>
        <w:t xml:space="preserve"> год</w:t>
      </w:r>
      <w:r>
        <w:rPr>
          <w:rFonts w:ascii="PT Astra Serif" w:hAnsi="PT Astra Serif"/>
          <w:sz w:val="28"/>
          <w:szCs w:val="28"/>
        </w:rPr>
        <w:t>;</w:t>
      </w:r>
    </w:p>
    <w:p>
      <w:pPr>
        <w:pStyle w:val="ClassyRed1LTGliederung1"/>
        <w:tabs>
          <w:tab w:val="clear" w:pos="720"/>
          <w:tab w:val="left" w:pos="993" w:leader="none"/>
        </w:tabs>
        <w:bidi w:val="0"/>
        <w:spacing w:before="0" w:after="0"/>
        <w:ind w:left="0" w:right="0" w:firstLine="709"/>
        <w:jc w:val="both"/>
        <w:rPr>
          <w:rFonts w:ascii="PT Astra Serif" w:hAnsi="PT Astra Serif"/>
        </w:rPr>
      </w:pPr>
      <w:r>
        <w:rPr>
          <w:rFonts w:eastAsia="PT Astra Serif" w:cs="PT Astra Serif" w:ascii="PT Astra Serif" w:hAnsi="PT Astra Serif"/>
          <w:sz w:val="28"/>
          <w:szCs w:val="28"/>
        </w:rPr>
        <w:t xml:space="preserve">— </w:t>
      </w:r>
      <w:r>
        <w:rPr>
          <w:rFonts w:ascii="PT Astra Serif" w:hAnsi="PT Astra Serif"/>
          <w:sz w:val="28"/>
          <w:szCs w:val="28"/>
        </w:rPr>
        <w:t>проведено обобщение и анализ правоприменительной практики осуществления регионального государственного контроля (надзора) за соблюдением законодательства об архивном деле на территории Томской области за 20</w:t>
      </w:r>
      <w:r>
        <w:rPr>
          <w:rFonts w:eastAsia="Tahoma" w:cs="Calibri" w:ascii="PT Astra Serif" w:hAnsi="PT Astra Serif"/>
          <w:b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ru-RU" w:eastAsia="ru-RU" w:bidi="ar-SA"/>
        </w:rPr>
        <w:t>22</w:t>
      </w:r>
      <w:r>
        <w:rPr>
          <w:rFonts w:ascii="PT Astra Serif" w:hAnsi="PT Astra Serif"/>
          <w:sz w:val="28"/>
          <w:szCs w:val="28"/>
        </w:rPr>
        <w:t xml:space="preserve"> год, на официальном сайте Департамента размещён </w:t>
      </w:r>
      <w:r>
        <w:rPr>
          <w:rFonts w:eastAsia="Tahoma" w:cs="Calibri" w:ascii="PT Astra Serif" w:hAnsi="PT Astra Serif"/>
          <w:b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ru-RU" w:eastAsia="ru-RU" w:bidi="ar-SA"/>
        </w:rPr>
        <w:t>доклад, содержащий результаты</w:t>
      </w:r>
      <w:r>
        <w:rPr>
          <w:rFonts w:ascii="PT Astra Serif" w:hAnsi="PT Astra Serif"/>
          <w:sz w:val="28"/>
          <w:szCs w:val="28"/>
        </w:rPr>
        <w:t xml:space="preserve"> обобщения правоприменительной практики осуществления регионального государственного контроля (надзора) за соблюдением законодательства об архивном деле на территории Томской области за 20</w:t>
      </w:r>
      <w:r>
        <w:rPr>
          <w:rFonts w:eastAsia="Tahoma" w:cs="Calibri" w:ascii="PT Astra Serif" w:hAnsi="PT Astra Serif"/>
          <w:b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ru-RU" w:eastAsia="ru-RU" w:bidi="ar-SA"/>
        </w:rPr>
        <w:t>22</w:t>
      </w:r>
      <w:r>
        <w:rPr>
          <w:rFonts w:ascii="PT Astra Serif" w:hAnsi="PT Astra Serif"/>
          <w:sz w:val="28"/>
          <w:szCs w:val="28"/>
        </w:rPr>
        <w:t xml:space="preserve"> год;</w:t>
      </w:r>
    </w:p>
    <w:p>
      <w:pPr>
        <w:pStyle w:val="ClassyRed1LTGliederung1"/>
        <w:tabs>
          <w:tab w:val="clear" w:pos="720"/>
          <w:tab w:val="left" w:pos="993" w:leader="none"/>
        </w:tabs>
        <w:bidi w:val="0"/>
        <w:spacing w:before="0" w:after="0"/>
        <w:ind w:left="0" w:right="0" w:firstLine="709"/>
        <w:jc w:val="both"/>
        <w:rPr>
          <w:rFonts w:ascii="PT Astra Serif" w:hAnsi="PT Astra Serif"/>
        </w:rPr>
      </w:pPr>
      <w:r>
        <w:rPr>
          <w:rFonts w:eastAsia="PT Astra Serif" w:cs="PT Astra Serif" w:ascii="PT Astra Serif" w:hAnsi="PT Astra Serif"/>
          <w:sz w:val="28"/>
          <w:szCs w:val="28"/>
        </w:rPr>
        <w:t xml:space="preserve">— </w:t>
      </w:r>
      <w:r>
        <w:rPr>
          <w:rFonts w:ascii="PT Astra Serif" w:hAnsi="PT Astra Serif"/>
          <w:sz w:val="28"/>
          <w:szCs w:val="28"/>
        </w:rPr>
        <w:t>провед</w:t>
      </w:r>
      <w:r>
        <w:rPr>
          <w:rFonts w:eastAsia="Tahoma" w:cs="Calibri" w:ascii="PT Astra Serif" w:hAnsi="PT Astra Serif"/>
          <w:b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ru-RU" w:eastAsia="ru-RU" w:bidi="ar-SA"/>
        </w:rPr>
        <w:t>е</w:t>
      </w:r>
      <w:r>
        <w:rPr>
          <w:rFonts w:ascii="PT Astra Serif" w:hAnsi="PT Astra Serif"/>
          <w:sz w:val="28"/>
          <w:szCs w:val="28"/>
        </w:rPr>
        <w:t>но два обучающих семинара для специалистов, ответственных за ведение делопроизводства, уч</w:t>
      </w:r>
      <w:r>
        <w:rPr>
          <w:rFonts w:eastAsia="Tahoma" w:cs="Calibri" w:ascii="PT Astra Serif" w:hAnsi="PT Astra Serif"/>
          <w:b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ru-RU" w:eastAsia="ru-RU" w:bidi="ar-SA"/>
        </w:rPr>
        <w:t>е</w:t>
      </w:r>
      <w:r>
        <w:rPr>
          <w:rFonts w:ascii="PT Astra Serif" w:hAnsi="PT Astra Serif"/>
          <w:sz w:val="28"/>
          <w:szCs w:val="28"/>
        </w:rPr>
        <w:t>т, хранение, комплектование и использование архивных документов в организациях в Первомайском и Асиновском районах;</w:t>
      </w:r>
    </w:p>
    <w:p>
      <w:pPr>
        <w:pStyle w:val="ClassyRed1LTGliederung1"/>
        <w:tabs>
          <w:tab w:val="clear" w:pos="720"/>
          <w:tab w:val="left" w:pos="993" w:leader="none"/>
        </w:tabs>
        <w:bidi w:val="0"/>
        <w:spacing w:before="0" w:after="0"/>
        <w:ind w:left="0" w:right="0" w:firstLine="709"/>
        <w:jc w:val="both"/>
        <w:rPr>
          <w:rFonts w:ascii="PT Astra Serif" w:hAnsi="PT Astra Serif"/>
        </w:rPr>
      </w:pPr>
      <w:hyperlink r:id="rId32">
        <w:r>
          <w:rPr>
            <w:rFonts w:eastAsia="PT Astra Serif" w:cs="PT Astra Serif" w:ascii="PT Astra Serif" w:hAnsi="PT Astra Serif"/>
            <w:sz w:val="28"/>
            <w:szCs w:val="28"/>
          </w:rPr>
          <w:t xml:space="preserve">— </w:t>
        </w:r>
        <w:r>
          <w:rPr>
            <w:rFonts w:ascii="PT Astra Serif" w:hAnsi="PT Astra Serif"/>
            <w:sz w:val="28"/>
            <w:szCs w:val="28"/>
          </w:rPr>
          <w:t>подготовлены обзоры изменений в законодательстве и размещены на сайте вместе со ссылками на нормативные и методические документы</w:t>
        </w:r>
      </w:hyperlink>
      <w:hyperlink r:id="rId33">
        <w:r>
          <w:rPr>
            <w:rFonts w:ascii="PT Astra Serif" w:hAnsi="PT Astra Serif"/>
            <w:sz w:val="28"/>
            <w:szCs w:val="28"/>
          </w:rPr>
          <w:t>;</w:t>
        </w:r>
      </w:hyperlink>
    </w:p>
    <w:p>
      <w:pPr>
        <w:pStyle w:val="ClassyRed1LTGliederung1"/>
        <w:tabs>
          <w:tab w:val="clear" w:pos="720"/>
          <w:tab w:val="left" w:pos="993" w:leader="none"/>
        </w:tabs>
        <w:bidi w:val="0"/>
        <w:spacing w:before="0" w:after="0"/>
        <w:ind w:left="0" w:right="0" w:firstLine="709"/>
        <w:jc w:val="both"/>
        <w:rPr/>
      </w:pPr>
      <w:r>
        <w:rPr>
          <w:rFonts w:eastAsia="OpenSymbol" w:cs="OpenSymbol" w:ascii="OpenSymbol" w:hAnsi="OpenSymbol"/>
          <w:sz w:val="28"/>
          <w:szCs w:val="28"/>
        </w:rPr>
        <w:t>—</w:t>
      </w:r>
      <w:r>
        <w:rPr>
          <w:rFonts w:eastAsia="Tahoma" w:cs="Calibri" w:ascii="PT Astra Serif" w:hAnsi="PT Astra Serif"/>
          <w:sz w:val="28"/>
          <w:szCs w:val="28"/>
        </w:rPr>
        <w:t xml:space="preserve"> </w:t>
      </w:r>
      <w:r>
        <w:rPr>
          <w:rFonts w:eastAsia="Tahoma" w:cs="Calibri" w:ascii="PT Astra Serif" w:hAnsi="PT Astra Serif"/>
          <w:sz w:val="28"/>
          <w:szCs w:val="28"/>
        </w:rPr>
        <w:t xml:space="preserve">проведено </w:t>
      </w:r>
      <w:r>
        <w:rPr>
          <w:rFonts w:eastAsia="Tahoma" w:cs="Calibri" w:ascii="PT Astra Serif" w:hAnsi="PT Astra Serif"/>
          <w:b w:val="false"/>
          <w:i w:val="false"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ru-RU" w:eastAsia="ru-RU" w:bidi="ar-SA"/>
        </w:rPr>
        <w:t>14</w:t>
      </w:r>
      <w:r>
        <w:rPr>
          <w:rFonts w:eastAsia="Tahoma" w:cs="Calibri" w:ascii="PT Astra Serif" w:hAnsi="PT Astra Serif"/>
          <w:sz w:val="28"/>
          <w:szCs w:val="28"/>
        </w:rPr>
        <w:t xml:space="preserve"> профилактических визитов в организации, в связи 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ru-RU" w:bidi="ar-SA"/>
        </w:rPr>
        <w:t xml:space="preserve">с включением </w:t>
      </w:r>
      <w:r>
        <w:rPr>
          <w:rFonts w:eastAsia="Times New Roman" w:cs="Times New Roman" w:ascii="PT Astra Serif" w:hAnsi="PT Astra Serif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ru-RU" w:eastAsia="ru-RU" w:bidi="ar-SA"/>
        </w:rPr>
        <w:t>их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ru-RU" w:bidi="ar-SA"/>
        </w:rPr>
        <w:t xml:space="preserve"> в список организаций-источников комплектования государственного (муниципальн</w:t>
      </w:r>
      <w:r>
        <w:rPr>
          <w:rFonts w:eastAsia="Times New Roman" w:cs="Times New Roman" w:ascii="PT Astra Serif" w:hAnsi="PT Astra Serif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ru-RU" w:eastAsia="ru-RU" w:bidi="ar-SA"/>
        </w:rPr>
        <w:t>ого)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ru-RU" w:bidi="ar-SA"/>
        </w:rPr>
        <w:t xml:space="preserve"> архива, отнесением к категории значительного риска или по инициативе контролируемого лица;</w:t>
      </w:r>
    </w:p>
    <w:p>
      <w:pPr>
        <w:pStyle w:val="ClassyRed1LTGliederung1"/>
        <w:tabs>
          <w:tab w:val="clear" w:pos="720"/>
          <w:tab w:val="left" w:pos="993" w:leader="none"/>
        </w:tabs>
        <w:bidi w:val="0"/>
        <w:spacing w:before="0" w:after="0"/>
        <w:ind w:left="0" w:right="0" w:firstLine="709"/>
        <w:jc w:val="both"/>
        <w:rPr/>
      </w:pPr>
      <w:r>
        <w:rPr>
          <w:rFonts w:eastAsia="OpenSymbol" w:cs="OpenSymbol" w:ascii="OpenSymbol" w:hAnsi="OpenSymbol"/>
          <w:color w:val="auto"/>
          <w:kern w:val="0"/>
          <w:sz w:val="28"/>
          <w:szCs w:val="28"/>
          <w:lang w:val="ru-RU" w:eastAsia="ru-RU" w:bidi="ar-SA"/>
        </w:rPr>
        <w:t>—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ru-RU" w:bidi="ar-SA"/>
        </w:rPr>
        <w:t xml:space="preserve">направлено </w:t>
      </w:r>
      <w:r>
        <w:rPr>
          <w:rFonts w:eastAsia="Times New Roman" w:cs="Times New Roman" w:ascii="PT Astra Serif" w:hAnsi="PT Astra Serif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ru-RU" w:eastAsia="ru-RU" w:bidi="ar-SA"/>
        </w:rPr>
        <w:t>64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ru-RU" w:bidi="ar-SA"/>
        </w:rPr>
        <w:t xml:space="preserve"> предостережения о недопустимости нарушения обязательных требований;</w:t>
      </w:r>
    </w:p>
    <w:p>
      <w:pPr>
        <w:pStyle w:val="ClassyRed1LTGliederung1"/>
        <w:tabs>
          <w:tab w:val="clear" w:pos="720"/>
          <w:tab w:val="left" w:pos="993" w:leader="none"/>
        </w:tabs>
        <w:bidi w:val="0"/>
        <w:spacing w:before="0" w:after="0"/>
        <w:ind w:left="0" w:right="0" w:firstLine="709"/>
        <w:jc w:val="both"/>
        <w:rPr/>
      </w:pP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ru-RU" w:bidi="ar-SA"/>
        </w:rPr>
        <w:t xml:space="preserve">– 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ru-RU" w:bidi="ar-SA"/>
        </w:rPr>
        <w:t>проведено 58 консультаций.</w:t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В настоящее время в деятельности 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Департамента</w:t>
      </w:r>
      <w:r>
        <w:rPr>
          <w:rFonts w:ascii="PT Astra Serif" w:hAnsi="PT Astra Serif"/>
          <w:sz w:val="28"/>
          <w:szCs w:val="28"/>
        </w:rPr>
        <w:t xml:space="preserve"> приоритетным становится осуществление профилактических мероприятий. Наибольший эффект среди них показывают осуществление консультировани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я</w:t>
      </w:r>
      <w:r>
        <w:rPr>
          <w:rFonts w:ascii="PT Astra Serif" w:hAnsi="PT Astra Serif"/>
          <w:sz w:val="28"/>
          <w:szCs w:val="28"/>
        </w:rPr>
        <w:t>, проведение профилактических визитов,  объявление предостережение о недопустимости нарушения обязательных требований. Указанные мероприятия могут осуществляться как по инициативе контрольных (надзорных) органов, так и в связи с поступлением сведений о возможных нарушениях обязательных требований или по инициативе самих контролируемых лиц.</w:t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Консультирование контролируемых лиц и их представителей осуществляется должностным лицом Департамента в соответствии со статьей 50 Федерального закона 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№</w:t>
      </w:r>
      <w:r>
        <w:rPr>
          <w:rFonts w:ascii="PT Astra Serif" w:hAnsi="PT Astra Serif"/>
          <w:sz w:val="28"/>
          <w:szCs w:val="28"/>
        </w:rPr>
        <w:t xml:space="preserve"> 248-ФЗ в письменной форме при их письменном обращении, в устной форме по телефону, на личном приеме у должностного лица Департамента или в ходе осуществления контрольного (надзорного) мероприятия, профилактического визита.</w:t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Департаментом осуществляется консультирование, в том числе письменное, по следующим вопросам:</w:t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1) профилактика рисков нарушения обязательных требований;</w:t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2) порядок осуществления контроля;</w:t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3) порядок обжалования решений Департамента;</w:t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4) иные вопросы, касающиеся осуществления контроля.</w:t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По итогам консультирования информация в письменной форме контролируемым лицам не предоставляется, за исключением случаев консультирования на основании обращений контролируемых лиц, поступивших в письменной форме в порядке и сроки, установленные федеральным законом от 2 мая 2006 года № 59-фз «О порядке рассмотрения обращений граждан Российской Федерации».</w:t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При наличии двух и более обращений в течение трех месяцев по одним и тем же вопросам от разных контролируемых лиц или их представителей консультирование по однотипным обращениям осуществляется посредством размещения на официальном сайте Департамента в сети «Интернет» письменного разъяснения, подписанного начальником Департамента, без указания в таком разъяснении сведений, отнесенных к категории ограниченного доступа.</w:t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В целях получения сведений о действующих обязательных требованиях в сфере архивного дела и соответствии им осуществляемой юридическим лицом деятельности, контролируемое лицо может обратиться в Департамент с просьбой о проведении профилактического визита, который может проводится как по месту осуществления деятельности контролируемого лица, так и онлайн. В ходе него специалистами Департамента будут предоставлены исчерпывающие сведения о действующих обязательных требованиях в сфере архивного дела а также даны рекомендации о том, как привести деятельность юридического лица в соответствие с ними. По результатам профилактического визита представление об устранении нарушений обязательных требований не выдается. Протокол об административном правонарушении также не составляется.</w:t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Предостережение о недопустимости нарушения обязательных требований может быть направлено контролируемому лицу при наличии у Департамента сведений о готовящихся нарушениях обязательных требований или признаках нарушений обязательных требований. </w:t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Указанные меры ведут к росту уровня знаний о требованиях, предъявляемых нормативными правовыми актами в сфере архивного дела, что, в свою очередь, приводит к снижению количества выявляемых нарушений.</w:t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ListParagraph"/>
        <w:tabs>
          <w:tab w:val="clear" w:pos="720"/>
          <w:tab w:val="left" w:pos="993" w:leader="none"/>
          <w:tab w:val="left" w:pos="6379" w:leader="none"/>
        </w:tabs>
        <w:ind w:left="0" w:right="0"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Цели и задачи </w:t>
      </w:r>
      <w:hyperlink r:id="rId34">
        <w:r>
          <w:rPr>
            <w:rFonts w:eastAsia="Times New Roman" w:cs="Times New Roman" w:ascii="PT Astra Serif" w:hAnsi="PT Astra Serif"/>
            <w:color w:val="auto"/>
            <w:kern w:val="0"/>
            <w:sz w:val="28"/>
            <w:szCs w:val="28"/>
            <w:lang w:val="ru-RU" w:eastAsia="zh-CN" w:bidi="ar-SA"/>
          </w:rPr>
          <w:t>р</w:t>
        </w:r>
      </w:hyperlink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еализации Программы</w:t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 xml:space="preserve">Целями 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реализации Программы</w:t>
      </w:r>
      <w:r>
        <w:rPr>
          <w:rFonts w:cs="Times New Roman" w:ascii="PT Astra Serif" w:hAnsi="PT Astra Serif"/>
          <w:sz w:val="28"/>
          <w:szCs w:val="28"/>
        </w:rPr>
        <w:t xml:space="preserve"> являются:</w:t>
      </w:r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35">
        <w:r>
          <w:rPr>
            <w:rFonts w:cs="Times New Roman" w:ascii="PT Astra Serif" w:hAnsi="PT Astra Serif"/>
            <w:sz w:val="28"/>
            <w:szCs w:val="28"/>
          </w:rPr>
          <w:t>1) предупреждение нарушений обязательных требований;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36">
        <w:r>
          <w:rPr>
            <w:rFonts w:cs="Times New Roman" w:ascii="PT Astra Serif" w:hAnsi="PT Astra Serif"/>
            <w:sz w:val="28"/>
            <w:szCs w:val="28"/>
          </w:rPr>
          <w:t>2) устранение причин, факторов и условий, способствующих возможному нарушению обязательных требований;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37">
        <w:r>
          <w:rPr>
            <w:rFonts w:cs="Times New Roman" w:ascii="PT Astra Serif" w:hAnsi="PT Astra Serif"/>
            <w:sz w:val="28"/>
            <w:szCs w:val="28"/>
          </w:rPr>
          <w:t>3) повышение прозрачности системы контроля за соблюдением законодательства об архивном деле;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 xml:space="preserve">4) снижение издержек как Департамента, так и 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контролируемых лиц</w:t>
      </w:r>
      <w:r>
        <w:rPr>
          <w:rFonts w:cs="Times New Roman" w:ascii="PT Astra Serif" w:hAnsi="PT Astra Serif"/>
          <w:sz w:val="28"/>
          <w:szCs w:val="28"/>
        </w:rPr>
        <w:t xml:space="preserve"> при осуществлении контроля за соблюдением законодательства об архивном деле;</w:t>
      </w:r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 xml:space="preserve">5) снижение административной нагрузки на 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контролируемых лиц</w:t>
      </w:r>
      <w:r>
        <w:rPr>
          <w:rFonts w:cs="Times New Roman" w:ascii="PT Astra Serif" w:hAnsi="PT Astra Serif"/>
          <w:sz w:val="28"/>
          <w:szCs w:val="28"/>
        </w:rPr>
        <w:t>;</w:t>
      </w:r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38">
        <w:r>
          <w:rPr>
            <w:rFonts w:cs="Times New Roman" w:ascii="PT Astra Serif" w:hAnsi="PT Astra Serif"/>
            <w:sz w:val="28"/>
            <w:szCs w:val="28"/>
          </w:rPr>
          <w:t>6) создание мотивации к добросовестному поведению и, как следствие, снижение уровня ущерба охраняемым законом ценностям.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 xml:space="preserve">Задачами 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реализации Программы</w:t>
      </w:r>
      <w:r>
        <w:rPr>
          <w:rFonts w:cs="Times New Roman" w:ascii="PT Astra Serif" w:hAnsi="PT Astra Serif"/>
          <w:sz w:val="28"/>
          <w:szCs w:val="28"/>
        </w:rPr>
        <w:t xml:space="preserve"> являются:</w:t>
      </w:r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39">
        <w:r>
          <w:rPr>
            <w:rFonts w:cs="Times New Roman" w:ascii="PT Astra Serif" w:hAnsi="PT Astra Serif"/>
            <w:sz w:val="28"/>
            <w:szCs w:val="28"/>
          </w:rPr>
          <w:t>1) формирование единообразного понимания обязательных требований у всех участников осуществляемой Департаментом контрольной (надзорной) деятельности;</w:t>
        </w:r>
      </w:hyperlink>
    </w:p>
    <w:p>
      <w:p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r>
        <w:rPr>
          <w:rFonts w:cs="Times New Roman" w:ascii="PT Astra Serif" w:hAnsi="PT Astra Serif"/>
          <w:sz w:val="28"/>
          <w:szCs w:val="28"/>
        </w:rPr>
        <w:t xml:space="preserve">2) выявление причин, факторов и условий, способствующих нарушению обязательных требований 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контролируемыми лицами</w:t>
      </w:r>
      <w:r>
        <w:rPr>
          <w:rFonts w:cs="Times New Roman" w:ascii="PT Astra Serif" w:hAnsi="PT Astra Serif"/>
          <w:sz w:val="28"/>
          <w:szCs w:val="28"/>
        </w:rPr>
        <w:t>, определение способов их устранения или снижения рисков возникновения;</w:t>
      </w:r>
    </w:p>
    <w:p>
      <w:pPr>
        <w:sectPr>
          <w:headerReference w:type="default" r:id="rId41"/>
          <w:headerReference w:type="first" r:id="rId42"/>
          <w:type w:val="nextPage"/>
          <w:pgSz w:w="11906" w:h="16838"/>
          <w:pgMar w:left="1418" w:right="851" w:header="1134" w:top="1191" w:footer="0" w:bottom="1134" w:gutter="0"/>
          <w:pgNumType w:fmt="decimal"/>
          <w:formProt w:val="false"/>
          <w:titlePg/>
          <w:textDirection w:val="lrTb"/>
          <w:docGrid w:type="default" w:linePitch="360" w:charSpace="0"/>
        </w:sectPr>
        <w:pStyle w:val="ConsPlusNormal"/>
        <w:bidi w:val="0"/>
        <w:ind w:left="0" w:right="0" w:firstLine="709"/>
        <w:jc w:val="both"/>
        <w:rPr>
          <w:rFonts w:ascii="PT Astra Serif" w:hAnsi="PT Astra Serif"/>
        </w:rPr>
      </w:pPr>
      <w:hyperlink r:id="rId40">
        <w:r>
          <w:rPr>
            <w:rFonts w:cs="Times New Roman" w:ascii="PT Astra Serif" w:hAnsi="PT Astra Serif"/>
            <w:sz w:val="28"/>
            <w:szCs w:val="28"/>
          </w:rPr>
          <w:t>3) выявление типичных нарушений обязательных требований и подготовка предложений по их профилактике.</w:t>
        </w:r>
      </w:hyperlink>
    </w:p>
    <w:p>
      <w:pPr>
        <w:pStyle w:val="Normal"/>
        <w:jc w:val="center"/>
        <w:rPr>
          <w:rFonts w:ascii="PT Astra Serif" w:hAnsi="PT Astra Serif"/>
          <w:sz w:val="28"/>
          <w:szCs w:val="28"/>
        </w:rPr>
      </w:pPr>
      <w:hyperlink r:id="rId43">
        <w:r>
          <w:rPr>
            <w:rFonts w:eastAsia="Times New Roman" w:cs="Times New Roman" w:ascii="PT Astra Serif" w:hAnsi="PT Astra Serif"/>
            <w:color w:val="auto"/>
            <w:kern w:val="0"/>
            <w:sz w:val="28"/>
            <w:szCs w:val="28"/>
            <w:lang w:val="ru-RU" w:eastAsia="zh-CN" w:bidi="ar-SA"/>
          </w:rPr>
          <w:t>П</w:t>
        </w:r>
      </w:hyperlink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еречень профилактических мероприятий, сроки (периодичность) их проведения</w:t>
      </w:r>
    </w:p>
    <w:p>
      <w:pPr>
        <w:pStyle w:val="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tbl>
      <w:tblPr>
        <w:tblW w:w="1499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1715"/>
        <w:gridCol w:w="2633"/>
      </w:tblGrid>
      <w:tr>
        <w:trPr/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44">
              <w:r>
                <w:rPr>
                  <w:rFonts w:ascii="PT Astra Serif" w:hAnsi="PT Astra Serif"/>
                  <w:sz w:val="28"/>
                  <w:szCs w:val="28"/>
                </w:rPr>
                <w:t>№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45">
              <w:r>
                <w:rPr>
                  <w:rFonts w:ascii="PT Astra Serif" w:hAnsi="PT Astra Serif"/>
                  <w:sz w:val="28"/>
                  <w:szCs w:val="28"/>
                </w:rPr>
                <w:t>п/п</w:t>
              </w:r>
            </w:hyperlink>
          </w:p>
        </w:tc>
        <w:tc>
          <w:tcPr>
            <w:tcW w:w="1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46">
              <w:r>
                <w:rPr>
                  <w:rFonts w:ascii="PT Astra Serif" w:hAnsi="PT Astra Serif"/>
                  <w:sz w:val="28"/>
                  <w:szCs w:val="28"/>
                </w:rPr>
                <w:t>Наименование мероприятия</w:t>
              </w:r>
            </w:hyperlink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47">
              <w:r>
                <w:rPr>
                  <w:rFonts w:ascii="PT Astra Serif" w:hAnsi="PT Astra Serif"/>
                  <w:sz w:val="28"/>
                  <w:szCs w:val="28"/>
                </w:rPr>
                <w:t>Срок исполнения</w:t>
              </w:r>
            </w:hyperlink>
          </w:p>
        </w:tc>
      </w:tr>
      <w:tr>
        <w:trPr/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48">
              <w:r>
                <w:rPr>
                  <w:rFonts w:ascii="PT Astra Serif" w:hAnsi="PT Astra Serif"/>
                  <w:sz w:val="28"/>
                  <w:szCs w:val="28"/>
                </w:rPr>
                <w:t>1</w:t>
              </w:r>
            </w:hyperlink>
          </w:p>
        </w:tc>
        <w:tc>
          <w:tcPr>
            <w:tcW w:w="1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Размещение на официальном сайте Департамента </w:t>
            </w:r>
            <w:r>
              <w:rPr>
                <w:rFonts w:eastAsia="Times New Roman" w:cs="Times New Roman" w:ascii="PT Astra Serif" w:hAnsi="PT Astra Serif"/>
                <w:color w:val="auto"/>
                <w:sz w:val="28"/>
                <w:szCs w:val="28"/>
                <w:lang w:val="ru-RU" w:eastAsia="zh-CN" w:bidi="ar-SA"/>
              </w:rPr>
              <w:t>программы профилактики рисков причинения вреда  (ущерба) охраняемым законом ценностям на 202</w:t>
            </w:r>
            <w:r>
              <w:rPr>
                <w:rFonts w:eastAsia="Times New Roman" w:cs="Times New Roman" w:ascii="PT Astra Serif" w:hAnsi="PT Astra Serif"/>
                <w:color w:val="auto"/>
                <w:kern w:val="0"/>
                <w:sz w:val="28"/>
                <w:szCs w:val="28"/>
                <w:lang w:val="ru-RU" w:eastAsia="zh-CN" w:bidi="ar-SA"/>
              </w:rPr>
              <w:t>4</w:t>
            </w:r>
            <w:r>
              <w:rPr>
                <w:rFonts w:eastAsia="Times New Roman" w:cs="Times New Roman" w:ascii="PT Astra Serif" w:hAnsi="PT Astra Serif"/>
                <w:color w:val="auto"/>
                <w:sz w:val="28"/>
                <w:szCs w:val="28"/>
                <w:lang w:val="ru-RU" w:eastAsia="zh-CN" w:bidi="ar-SA"/>
              </w:rPr>
              <w:t xml:space="preserve"> год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49">
              <w:r>
                <w:rPr>
                  <w:rFonts w:ascii="PT Astra Serif" w:hAnsi="PT Astra Serif"/>
                  <w:sz w:val="28"/>
                  <w:szCs w:val="28"/>
                </w:rPr>
                <w:t>декабрь 20</w:t>
              </w:r>
              <w:r>
                <w:rPr>
                  <w:rFonts w:eastAsia="Times New Roman" w:cs="Times New Roman" w:ascii="PT Astra Serif" w:hAnsi="PT Astra Serif"/>
                  <w:color w:val="auto"/>
                  <w:kern w:val="0"/>
                  <w:sz w:val="28"/>
                  <w:szCs w:val="28"/>
                  <w:lang w:val="ru-RU" w:eastAsia="ru-RU" w:bidi="ar-SA"/>
                </w:rPr>
                <w:t>24</w:t>
              </w:r>
              <w:r>
                <w:rPr>
                  <w:rFonts w:ascii="PT Astra Serif" w:hAnsi="PT Astra Serif"/>
                  <w:sz w:val="28"/>
                  <w:szCs w:val="28"/>
                </w:rPr>
                <w:t xml:space="preserve"> г. </w:t>
              </w:r>
            </w:hyperlink>
          </w:p>
        </w:tc>
      </w:tr>
      <w:tr>
        <w:trPr/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50">
              <w:r>
                <w:rPr>
                  <w:rFonts w:ascii="PT Astra Serif" w:hAnsi="PT Astra Serif"/>
                  <w:sz w:val="28"/>
                  <w:szCs w:val="28"/>
                </w:rPr>
                <w:t>2</w:t>
              </w:r>
            </w:hyperlink>
          </w:p>
        </w:tc>
        <w:tc>
          <w:tcPr>
            <w:tcW w:w="1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51">
              <w:r>
                <w:rPr>
                  <w:rFonts w:ascii="PT Astra Serif" w:hAnsi="PT Astra Serif"/>
                  <w:sz w:val="28"/>
                  <w:szCs w:val="28"/>
                </w:rPr>
                <w:t>Информирование подконтрольных субъектов по вопросам соблюдения обязательных требований в области архивного дела посредством проведения семинаров и совещаний</w:t>
              </w:r>
            </w:hyperlink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PT Astra Serif" w:hAnsi="PT Astra Serif"/>
                <w:color w:val="000000"/>
                <w:kern w:val="0"/>
                <w:sz w:val="28"/>
                <w:szCs w:val="28"/>
                <w:lang w:val="ru-RU" w:eastAsia="zh-CN" w:bidi="ar-SA"/>
              </w:rPr>
              <w:t>март</w:t>
            </w:r>
          </w:p>
          <w:p>
            <w:pPr>
              <w:pStyle w:val="Normal"/>
              <w:jc w:val="center"/>
              <w:rPr>
                <w:rFonts w:ascii="PT Astra Serif" w:hAnsi="PT Astra Serif" w:eastAsia="Times New Roman" w:cs="Times New Roman"/>
                <w:color w:val="000000"/>
                <w:kern w:val="0"/>
                <w:sz w:val="28"/>
                <w:szCs w:val="28"/>
                <w:lang w:val="ru-RU" w:eastAsia="zh-CN" w:bidi="ar-SA"/>
              </w:rPr>
            </w:pPr>
            <w:r>
              <w:rPr>
                <w:rFonts w:eastAsia="Times New Roman" w:cs="Times New Roman" w:ascii="PT Astra Serif" w:hAnsi="PT Astra Serif"/>
                <w:color w:val="000000"/>
                <w:kern w:val="0"/>
                <w:sz w:val="28"/>
                <w:szCs w:val="28"/>
                <w:lang w:val="ru-RU" w:eastAsia="zh-CN" w:bidi="ar-SA"/>
              </w:rPr>
              <w:t>сентябрь</w:t>
            </w:r>
          </w:p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PT Astra Serif" w:hAnsi="PT Astra Serif"/>
                <w:color w:val="000000"/>
                <w:kern w:val="0"/>
                <w:sz w:val="28"/>
                <w:szCs w:val="28"/>
                <w:lang w:val="ru-RU" w:eastAsia="zh-CN" w:bidi="ar-SA"/>
              </w:rPr>
              <w:t>ноябрь</w:t>
            </w:r>
          </w:p>
        </w:tc>
      </w:tr>
      <w:tr>
        <w:trPr/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52">
              <w:r>
                <w:rPr>
                  <w:rFonts w:ascii="PT Astra Serif" w:hAnsi="PT Astra Serif"/>
                  <w:sz w:val="28"/>
                  <w:szCs w:val="28"/>
                </w:rPr>
                <w:t>3</w:t>
              </w:r>
            </w:hyperlink>
          </w:p>
        </w:tc>
        <w:tc>
          <w:tcPr>
            <w:tcW w:w="1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53">
              <w:r>
                <w:rPr>
                  <w:rFonts w:ascii="PT Astra Serif" w:hAnsi="PT Astra Serif"/>
                  <w:sz w:val="28"/>
                  <w:szCs w:val="28"/>
                </w:rPr>
                <w:t>Проведение публичных обсуждений результатов правоприменительной практики Департамента</w:t>
              </w:r>
            </w:hyperlink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54">
              <w:r>
                <w:rPr>
                  <w:rFonts w:ascii="PT Astra Serif" w:hAnsi="PT Astra Serif"/>
                  <w:sz w:val="28"/>
                  <w:szCs w:val="28"/>
                </w:rPr>
                <w:t>ноябрь</w:t>
              </w:r>
            </w:hyperlink>
          </w:p>
        </w:tc>
      </w:tr>
      <w:tr>
        <w:trPr/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55">
              <w:r>
                <w:rPr>
                  <w:rFonts w:ascii="PT Astra Serif" w:hAnsi="PT Astra Serif"/>
                  <w:sz w:val="28"/>
                  <w:szCs w:val="28"/>
                </w:rPr>
                <w:t>4</w:t>
              </w:r>
            </w:hyperlink>
          </w:p>
        </w:tc>
        <w:tc>
          <w:tcPr>
            <w:tcW w:w="1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56">
              <w:r>
                <w:rPr>
                  <w:rFonts w:ascii="PT Astra Serif" w:hAnsi="PT Astra Serif"/>
                  <w:sz w:val="28"/>
                  <w:szCs w:val="28"/>
                </w:rPr>
                <w:t>Прием заинтересованных лиц в комитете по делам архивов Департамента по вопросам соблюдения обязательных требований в области архивного дела</w:t>
              </w:r>
            </w:hyperlink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57">
              <w:r>
                <w:rPr>
                  <w:rFonts w:ascii="PT Astra Serif" w:hAnsi="PT Astra Serif"/>
                  <w:sz w:val="28"/>
                  <w:szCs w:val="28"/>
                </w:rPr>
                <w:t xml:space="preserve">еженедельно по средам 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58">
              <w:r>
                <w:rPr>
                  <w:rFonts w:ascii="PT Astra Serif" w:hAnsi="PT Astra Serif"/>
                  <w:sz w:val="28"/>
                  <w:szCs w:val="28"/>
                </w:rPr>
                <w:t>с 14:00 до 18:00</w:t>
              </w:r>
            </w:hyperlink>
          </w:p>
        </w:tc>
      </w:tr>
      <w:tr>
        <w:trPr/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59">
              <w:r>
                <w:rPr>
                  <w:rFonts w:ascii="PT Astra Serif" w:hAnsi="PT Astra Serif"/>
                  <w:sz w:val="28"/>
                  <w:szCs w:val="28"/>
                </w:rPr>
                <w:t>5</w:t>
              </w:r>
            </w:hyperlink>
          </w:p>
        </w:tc>
        <w:tc>
          <w:tcPr>
            <w:tcW w:w="11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spacing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eastAsia="Calibri" w:cs="PT Astra Serif" w:ascii="PT Astra Serif" w:hAnsi="PT Astra Serif"/>
                <w:b w:val="false"/>
                <w:bCs/>
                <w:i w:val="false"/>
                <w:strike w:val="false"/>
                <w:dstrike w:val="false"/>
                <w:color w:val="000000"/>
                <w:sz w:val="28"/>
                <w:szCs w:val="28"/>
                <w:u w:val="none"/>
                <w:shd w:fill="auto" w:val="clear"/>
                <w:lang w:val="ru-RU" w:eastAsia="en-US" w:bidi="ar-SA"/>
              </w:rPr>
              <w:t>К</w:t>
            </w:r>
            <w:r>
              <w:rPr>
                <w:rFonts w:eastAsia="Calibri" w:cs="PT Astra Serif" w:ascii="PT Astra Serif" w:hAnsi="PT Astra Serif"/>
                <w:b w:val="false"/>
                <w:i w:val="false"/>
                <w:strike w:val="false"/>
                <w:dstrike w:val="false"/>
                <w:sz w:val="28"/>
                <w:szCs w:val="28"/>
                <w:u w:val="none"/>
                <w:shd w:fill="auto" w:val="clear"/>
                <w:lang w:eastAsia="en-US"/>
              </w:rPr>
              <w:t>онсультирование контролируемых лиц и их представителей по вопросам, касающимся осуществления контроля</w:t>
            </w:r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60">
              <w:r>
                <w:rPr>
                  <w:rFonts w:ascii="PT Astra Serif" w:hAnsi="PT Astra Serif"/>
                  <w:sz w:val="28"/>
                  <w:szCs w:val="28"/>
                </w:rPr>
                <w:t>по мере необходимости</w:t>
              </w:r>
            </w:hyperlink>
          </w:p>
        </w:tc>
      </w:tr>
      <w:tr>
        <w:trPr/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61">
              <w:r>
                <w:rPr>
                  <w:rFonts w:ascii="PT Astra Serif" w:hAnsi="PT Astra Serif"/>
                  <w:sz w:val="28"/>
                  <w:szCs w:val="28"/>
                </w:rPr>
                <w:t>6</w:t>
              </w:r>
            </w:hyperlink>
          </w:p>
        </w:tc>
        <w:tc>
          <w:tcPr>
            <w:tcW w:w="1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hyperlink r:id="rId62">
              <w:r>
                <w:rPr>
                  <w:rFonts w:ascii="PT Astra Serif" w:hAnsi="PT Astra Serif"/>
                  <w:sz w:val="28"/>
                  <w:szCs w:val="28"/>
                </w:rPr>
                <w:t>Подготовка и размещение на официальном сайте Департамента комментариев о содержании новых нормативных правовых актов, устанавливающих обязательные требования в области архивного дела, внесенных изменений в действующие акты, сроков и порядка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 в области архивного дела</w:t>
              </w:r>
            </w:hyperlink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63">
              <w:r>
                <w:rPr>
                  <w:rFonts w:ascii="PT Astra Serif" w:hAnsi="PT Astra Serif"/>
                  <w:sz w:val="28"/>
                  <w:szCs w:val="28"/>
                </w:rPr>
                <w:t>в течение 10 рабочих дней со дня опубликования нормативных правовых актов, содержащих изменения обязательных требований в области архивного дела</w:t>
              </w:r>
            </w:hyperlink>
          </w:p>
        </w:tc>
      </w:tr>
      <w:tr>
        <w:trPr>
          <w:cantSplit w:val="true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64">
              <w:r>
                <w:rPr>
                  <w:rFonts w:ascii="PT Astra Serif" w:hAnsi="PT Astra Serif"/>
                  <w:sz w:val="28"/>
                  <w:szCs w:val="28"/>
                </w:rPr>
                <w:t>7</w:t>
              </w:r>
            </w:hyperlink>
          </w:p>
        </w:tc>
        <w:tc>
          <w:tcPr>
            <w:tcW w:w="1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Подготовка и размещение на сайте обобщения практики осуществления контроля за соблюдением законодательства об архивном деле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65">
              <w:r>
                <w:rPr>
                  <w:rFonts w:ascii="PT Astra Serif" w:hAnsi="PT Astra Serif"/>
                  <w:sz w:val="28"/>
                  <w:szCs w:val="28"/>
                </w:rPr>
                <w:t>январь</w:t>
              </w:r>
            </w:hyperlink>
          </w:p>
          <w:p>
            <w:pPr>
              <w:pStyle w:val="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</w:p>
        </w:tc>
      </w:tr>
      <w:tr>
        <w:trPr/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1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Размещение на официальном сайте Департамента ответов/разъяснений по часто задаваемым вопросам в области архивного дела и по </w:t>
            </w:r>
            <w:r>
              <w:rPr>
                <w:rFonts w:eastAsia="Calibri" w:cs="PT Astra Serif" w:ascii="PT Astra Serif" w:hAnsi="PT Astra Serif"/>
                <w:b w:val="false"/>
                <w:i w:val="false"/>
                <w:strike w:val="false"/>
                <w:dstrike w:val="false"/>
                <w:sz w:val="28"/>
                <w:szCs w:val="28"/>
                <w:u w:val="none"/>
                <w:shd w:fill="auto" w:val="clear"/>
                <w:lang w:eastAsia="en-US"/>
              </w:rPr>
              <w:t>вопросам, касающимся осуществления контроля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66">
              <w:r>
                <w:rPr>
                  <w:rFonts w:ascii="PT Astra Serif" w:hAnsi="PT Astra Serif"/>
                  <w:sz w:val="28"/>
                  <w:szCs w:val="28"/>
                </w:rPr>
                <w:t>по мере необходимости</w:t>
              </w:r>
            </w:hyperlink>
          </w:p>
        </w:tc>
      </w:tr>
      <w:tr>
        <w:trPr/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  <w:tc>
          <w:tcPr>
            <w:tcW w:w="1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Вынесение юридическим лицам и индивидуальным предпринимателям предостережений о недопустимости нарушения обязательных требований в соответствии со статьей </w:t>
            </w:r>
            <w:r>
              <w:rPr>
                <w:rFonts w:eastAsia="Times New Roman" w:cs="Times New Roman" w:ascii="PT Astra Serif" w:hAnsi="PT Astra Serif"/>
                <w:color w:val="auto"/>
                <w:kern w:val="0"/>
                <w:sz w:val="28"/>
                <w:szCs w:val="28"/>
                <w:lang w:val="ru-RU" w:eastAsia="zh-CN" w:bidi="ar-SA"/>
              </w:rPr>
              <w:t>49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cs="PT Astra Serif" w:ascii="PT Astra Serif" w:hAnsi="PT Astra Serif"/>
                <w:sz w:val="28"/>
                <w:szCs w:val="28"/>
              </w:rPr>
              <w:t xml:space="preserve">Федерального закона от </w:t>
            </w:r>
            <w:r>
              <w:rPr>
                <w:rFonts w:eastAsia="Times New Roman" w:cs="PT Astra Serif" w:ascii="PT Astra Serif" w:hAnsi="PT Astra Serif"/>
                <w:color w:val="auto"/>
                <w:sz w:val="28"/>
                <w:szCs w:val="28"/>
                <w:lang w:val="ru-RU" w:eastAsia="zh-CN" w:bidi="ar-SA"/>
              </w:rPr>
              <w:t>31</w:t>
            </w:r>
            <w:r>
              <w:rPr>
                <w:rFonts w:cs="PT Astra Serif" w:ascii="PT Astra Serif" w:hAnsi="PT Astra Serif"/>
                <w:sz w:val="28"/>
                <w:szCs w:val="28"/>
              </w:rPr>
              <w:t xml:space="preserve">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</w:rPr>
            </w:pPr>
            <w:hyperlink r:id="rId67">
              <w:r>
                <w:rPr>
                  <w:rFonts w:ascii="PT Astra Serif" w:hAnsi="PT Astra Serif"/>
                  <w:sz w:val="28"/>
                  <w:szCs w:val="28"/>
                </w:rPr>
                <w:t>незамедлительно, при наличии сведений о признаках нарушений обязательных требований</w:t>
              </w:r>
            </w:hyperlink>
          </w:p>
        </w:tc>
      </w:tr>
      <w:tr>
        <w:trPr/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  <w:tc>
          <w:tcPr>
            <w:tcW w:w="11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Осуществление профилактических визитов </w:t>
            </w:r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eastAsia="Times New Roman" w:cs="Times New Roman" w:ascii="PT Astra Serif" w:hAnsi="PT Astra Serif"/>
                <w:color w:val="auto"/>
                <w:kern w:val="0"/>
                <w:sz w:val="28"/>
                <w:szCs w:val="28"/>
                <w:lang w:val="ru-RU" w:eastAsia="zh-CN" w:bidi="ar-SA"/>
              </w:rPr>
              <w:t>в соответствии с Планом проведения профилактических визитов (приложение №1 к Программе), по обращением контролируемых лиц</w:t>
            </w:r>
          </w:p>
        </w:tc>
      </w:tr>
    </w:tbl>
    <w:p>
      <w:pPr>
        <w:sectPr>
          <w:headerReference w:type="default" r:id="rId69"/>
          <w:headerReference w:type="first" r:id="rId70"/>
          <w:type w:val="nextPage"/>
          <w:pgSz w:orient="landscape" w:w="16838" w:h="11906"/>
          <w:pgMar w:left="1134" w:right="1134" w:header="1134" w:top="1418" w:footer="0" w:bottom="851" w:gutter="0"/>
          <w:pgNumType w:fmt="decimal"/>
          <w:formProt w:val="false"/>
          <w:titlePg/>
          <w:textDirection w:val="lrTb"/>
          <w:docGrid w:type="default" w:linePitch="272" w:charSpace="8192"/>
        </w:sectPr>
        <w:pStyle w:val="Style19"/>
        <w:bidi w:val="0"/>
        <w:ind w:left="0" w:right="0" w:hanging="0"/>
        <w:rPr>
          <w:rFonts w:ascii="PT Astra Serif" w:hAnsi="PT Astra Serif"/>
        </w:rPr>
      </w:pPr>
      <w:hyperlink r:id="rId68">
        <w:r>
          <w:rPr>
            <w:rFonts w:ascii="PT Astra Serif" w:hAnsi="PT Astra Serif"/>
            <w:sz w:val="28"/>
            <w:szCs w:val="28"/>
          </w:rPr>
          <w:br/>
        </w:r>
      </w:hyperlink>
    </w:p>
    <w:p>
      <w:pPr>
        <w:pStyle w:val="Normal"/>
        <w:jc w:val="center"/>
        <w:rPr>
          <w:rFonts w:ascii="PT Astra Serif" w:hAnsi="PT Astra Serif" w:eastAsia="Times New Roman" w:cs="Times New Roman"/>
          <w:color w:val="auto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</w:r>
    </w:p>
    <w:p>
      <w:pPr>
        <w:pStyle w:val="Normal"/>
        <w:jc w:val="center"/>
        <w:rPr>
          <w:rFonts w:ascii="PT Astra Serif" w:hAnsi="PT Astra Serif" w:eastAsia="Times New Roman" w:cs="Times New Roman"/>
          <w:color w:val="auto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 xml:space="preserve">Показатели результативности и </w:t>
      </w:r>
    </w:p>
    <w:p>
      <w:pPr>
        <w:pStyle w:val="Normal"/>
        <w:jc w:val="center"/>
        <w:rPr>
          <w:rFonts w:ascii="PT Astra Serif" w:hAnsi="PT Astra Serif" w:eastAsia="Times New Roman" w:cs="Times New Roman"/>
          <w:color w:val="auto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эффективности Программы</w:t>
      </w:r>
    </w:p>
    <w:p>
      <w:pPr>
        <w:pStyle w:val="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71">
        <w:r>
          <w:rPr>
            <w:rFonts w:ascii="PT Astra Serif" w:hAnsi="PT Astra Serif"/>
            <w:sz w:val="28"/>
            <w:szCs w:val="28"/>
          </w:rPr>
          <w:t>Ожидаемым социальным эффектом от проводимых профилактических мероприятий является повышение уровня осведомленности об обязательных требованиях в сфере архивного дела, о том, какие именно интересы граждан и организаций защищаются при осуществлении контрольных (надзорных) мероприятий специалистами комитета по делам архивов Департамента, что   повлечет сокращение количества нарушений законодательства об архивном деле, сохранение исторически и социально значимых документов, сокращение нарушений прав граждан и организаций на получение информации.</w:t>
        </w:r>
      </w:hyperlink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72">
        <w:r>
          <w:rPr>
            <w:rFonts w:ascii="PT Astra Serif" w:hAnsi="PT Astra Serif"/>
            <w:sz w:val="28"/>
            <w:szCs w:val="28"/>
          </w:rPr>
          <w:t>Экономическим эффектом от реализованных мероприятий должна быть минимизация ресурсных затрат всех участников контрольной (надзорной) деятельности за счет снижения административного давления.</w:t>
        </w:r>
      </w:hyperlink>
    </w:p>
    <w:p>
      <w:pPr>
        <w:pStyle w:val="Normal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Оценить </w:t>
      </w: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результативность и эффективность Программы позволяют следующие</w:t>
      </w:r>
      <w:r>
        <w:rPr>
          <w:rFonts w:ascii="PT Astra Serif" w:hAnsi="PT Astra Serif"/>
          <w:sz w:val="28"/>
          <w:szCs w:val="28"/>
        </w:rPr>
        <w:t xml:space="preserve"> показатели: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73">
        <w:r>
          <w:rPr>
            <w:rFonts w:ascii="PT Astra Serif" w:hAnsi="PT Astra Serif"/>
            <w:sz w:val="28"/>
            <w:szCs w:val="28"/>
          </w:rPr>
          <w:t xml:space="preserve">количество проведенных профилактических мероприятий. </w:t>
        </w:r>
      </w:hyperlink>
    </w:p>
    <w:p>
      <w:pPr>
        <w:pStyle w:val="ListParagraph"/>
        <w:tabs>
          <w:tab w:val="clear" w:pos="720"/>
          <w:tab w:val="left" w:pos="1134" w:leader="none"/>
        </w:tabs>
        <w:ind w:left="0" w:right="0" w:firstLine="709"/>
        <w:jc w:val="both"/>
        <w:rPr>
          <w:rFonts w:ascii="PT Astra Serif" w:hAnsi="PT Astra Serif"/>
        </w:rPr>
      </w:pPr>
      <w:hyperlink r:id="rId74">
        <w:r>
          <w:rPr>
            <w:rFonts w:ascii="PT Astra Serif" w:hAnsi="PT Astra Serif"/>
            <w:sz w:val="28"/>
            <w:szCs w:val="28"/>
          </w:rPr>
          <w:t>Единица измерений – единица.</w:t>
        </w:r>
      </w:hyperlink>
    </w:p>
    <w:p>
      <w:pPr>
        <w:pStyle w:val="ListParagraph"/>
        <w:tabs>
          <w:tab w:val="clear" w:pos="720"/>
          <w:tab w:val="left" w:pos="1134" w:leader="none"/>
        </w:tabs>
        <w:ind w:left="0" w:right="0" w:firstLine="709"/>
        <w:jc w:val="both"/>
        <w:rPr>
          <w:rFonts w:ascii="PT Astra Serif" w:hAnsi="PT Astra Serif"/>
        </w:rPr>
      </w:pPr>
      <w:hyperlink r:id="rId75">
        <w:r>
          <w:rPr>
            <w:rFonts w:ascii="PT Astra Serif" w:hAnsi="PT Astra Serif"/>
            <w:sz w:val="28"/>
            <w:szCs w:val="28"/>
          </w:rPr>
          <w:t>Разъяснения по показателю: количество проведенных мероприятий по формам.</w:t>
        </w:r>
      </w:hyperlink>
    </w:p>
    <w:p>
      <w:pPr>
        <w:pStyle w:val="ListParagraph"/>
        <w:numPr>
          <w:ilvl w:val="0"/>
          <w:numId w:val="3"/>
        </w:numPr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76">
        <w:r>
          <w:rPr>
            <w:rFonts w:ascii="PT Astra Serif" w:hAnsi="PT Astra Serif"/>
            <w:sz w:val="28"/>
            <w:szCs w:val="28"/>
          </w:rPr>
          <w:t>количество субъектов, в отношении которых проведены профилактические мероприятия.</w:t>
        </w:r>
      </w:hyperlink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77">
        <w:r>
          <w:rPr>
            <w:rFonts w:ascii="PT Astra Serif" w:hAnsi="PT Astra Serif"/>
            <w:sz w:val="28"/>
            <w:szCs w:val="28"/>
          </w:rPr>
          <w:t>Единица измерения – единица.</w:t>
        </w:r>
      </w:hyperlink>
    </w:p>
    <w:p>
      <w:pPr>
        <w:pStyle w:val="ListParagraph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78">
        <w:r>
          <w:rPr>
            <w:rFonts w:ascii="PT Astra Serif" w:hAnsi="PT Astra Serif"/>
            <w:sz w:val="28"/>
            <w:szCs w:val="28"/>
          </w:rPr>
          <w:t>Разъяснения по показателю: количество подконтрольных субъектов – адресатов проведенных мероприятий.</w:t>
        </w:r>
      </w:hyperlink>
    </w:p>
    <w:p>
      <w:pPr>
        <w:pStyle w:val="Normal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79">
        <w:r>
          <w:rPr>
            <w:rFonts w:ascii="PT Astra Serif" w:hAnsi="PT Astra Serif"/>
            <w:sz w:val="28"/>
            <w:szCs w:val="28"/>
          </w:rPr>
          <w:t>3) доля проверок, по итогам которых выявлены нарушения обязательных требований от общего количества запланированных проверок.</w:t>
        </w:r>
      </w:hyperlink>
    </w:p>
    <w:p>
      <w:pPr>
        <w:pStyle w:val="Normal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80">
        <w:r>
          <w:rPr>
            <w:rFonts w:ascii="PT Astra Serif" w:hAnsi="PT Astra Serif"/>
            <w:sz w:val="28"/>
            <w:szCs w:val="28"/>
          </w:rPr>
          <w:t>Единица измерений – процент.</w:t>
        </w:r>
      </w:hyperlink>
    </w:p>
    <w:p>
      <w:pPr>
        <w:pStyle w:val="Normal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81">
        <w:r>
          <w:rPr>
            <w:rFonts w:ascii="PT Astra Serif" w:hAnsi="PT Astra Serif"/>
            <w:sz w:val="28"/>
            <w:szCs w:val="28"/>
          </w:rPr>
          <w:t>Разъяснения по показателю: отношение количества проверок за отчетный период, по которым выявлены нарушения обязательных требований, к общему количеству проведенных плановых проверок за отчетный период.</w:t>
        </w:r>
      </w:hyperlink>
    </w:p>
    <w:p>
      <w:pPr>
        <w:pStyle w:val="Normal"/>
        <w:tabs>
          <w:tab w:val="clear" w:pos="720"/>
          <w:tab w:val="left" w:pos="993" w:leader="none"/>
        </w:tabs>
        <w:ind w:left="0" w:right="0" w:firstLine="709"/>
        <w:jc w:val="both"/>
        <w:rPr>
          <w:rFonts w:ascii="PT Astra Serif" w:hAnsi="PT Astra Serif"/>
        </w:rPr>
      </w:pPr>
      <w:hyperlink r:id="rId82">
        <w:r>
          <w:rPr>
            <w:rFonts w:ascii="PT Astra Serif" w:hAnsi="PT Astra Serif"/>
            <w:sz w:val="28"/>
            <w:szCs w:val="28"/>
          </w:rPr>
          <w:t>4) доля внеплановых проверок, по итогам которых установлено, что предписания подконтрольными субъектами исполняются в полном объеме, от общего количества проведенных внеплановых проверок.</w:t>
        </w:r>
      </w:hyperlink>
    </w:p>
    <w:p>
      <w:pPr>
        <w:pStyle w:val="Normal"/>
        <w:ind w:left="0" w:right="0" w:firstLine="709"/>
        <w:jc w:val="both"/>
        <w:rPr>
          <w:rFonts w:ascii="PT Astra Serif" w:hAnsi="PT Astra Serif"/>
        </w:rPr>
      </w:pPr>
      <w:hyperlink r:id="rId83">
        <w:r>
          <w:rPr>
            <w:rFonts w:ascii="PT Astra Serif" w:hAnsi="PT Astra Serif"/>
            <w:sz w:val="28"/>
            <w:szCs w:val="28"/>
          </w:rPr>
          <w:t>Единица измерения – процент.</w:t>
        </w:r>
      </w:hyperlink>
    </w:p>
    <w:p>
      <w:pPr>
        <w:pStyle w:val="Normal"/>
        <w:ind w:left="0" w:right="0" w:firstLine="709"/>
        <w:jc w:val="both"/>
        <w:rPr>
          <w:rFonts w:ascii="PT Astra Serif" w:hAnsi="PT Astra Serif"/>
        </w:rPr>
      </w:pPr>
      <w:hyperlink r:id="rId84">
        <w:r>
          <w:rPr>
            <w:rFonts w:ascii="PT Astra Serif" w:hAnsi="PT Astra Serif"/>
            <w:sz w:val="28"/>
            <w:szCs w:val="28"/>
          </w:rPr>
          <w:t>Разъяснения по показателю: отношение количества внеплановых проверок за отчетный период, по итогам которых установлено, что предписания подконтрольными субъектами исполняются в полном объеме, к общему количеству проведенных внеплановых проверок за отчетный период.</w:t>
        </w:r>
      </w:hyperlink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ConsPlusNormal"/>
        <w:widowControl w:val="false"/>
        <w:suppressAutoHyphens w:val="true"/>
        <w:overflowPunct w:val="false"/>
        <w:bidi w:val="0"/>
        <w:spacing w:before="0" w:after="0"/>
        <w:ind w:left="5669" w:right="0" w:hanging="0"/>
        <w:jc w:val="left"/>
        <w:rPr>
          <w:rFonts w:ascii="PT Astra Serif" w:hAnsi="PT Astra Serif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 xml:space="preserve">Приложение к </w:t>
      </w:r>
    </w:p>
    <w:p>
      <w:pPr>
        <w:pStyle w:val="ConsPlusNormal"/>
        <w:widowControl w:val="false"/>
        <w:suppressAutoHyphens w:val="true"/>
        <w:overflowPunct w:val="false"/>
        <w:bidi w:val="0"/>
        <w:spacing w:before="0" w:after="0"/>
        <w:ind w:left="5669" w:right="0" w:hanging="0"/>
        <w:jc w:val="left"/>
        <w:rPr>
          <w:rFonts w:ascii="PT Astra Serif" w:hAnsi="PT Astra Serif"/>
          <w:sz w:val="28"/>
          <w:szCs w:val="28"/>
        </w:rPr>
      </w:pP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>программе профилактики</w:t>
      </w:r>
    </w:p>
    <w:p>
      <w:pPr>
        <w:pStyle w:val="ConsPlusNormal"/>
        <w:widowControl w:val="false"/>
        <w:suppressAutoHyphens w:val="true"/>
        <w:overflowPunct w:val="false"/>
        <w:bidi w:val="0"/>
        <w:spacing w:before="0" w:after="0"/>
        <w:ind w:left="5669" w:right="0" w:hanging="0"/>
        <w:jc w:val="left"/>
        <w:rPr>
          <w:rFonts w:ascii="PT Astra Serif" w:hAnsi="PT Astra Serif"/>
          <w:sz w:val="28"/>
          <w:szCs w:val="28"/>
        </w:rPr>
      </w:pPr>
      <w:r>
        <w:rPr>
          <w:rFonts w:eastAsia="Times New Roman" w:cs="Times New Roman" w:ascii="PT Astra Serif" w:hAnsi="PT Astra Serif"/>
          <w:color w:val="auto"/>
          <w:kern w:val="0"/>
          <w:sz w:val="28"/>
          <w:szCs w:val="28"/>
          <w:lang w:val="ru-RU" w:eastAsia="zh-CN" w:bidi="ar-SA"/>
        </w:rPr>
        <w:t xml:space="preserve">рисков причинения вреда  (ущерба) охраняемым законом ценностям на 2024 год </w:t>
      </w:r>
    </w:p>
    <w:p>
      <w:pPr>
        <w:pStyle w:val="ConsPlusNormal"/>
        <w:widowControl w:val="false"/>
        <w:suppressAutoHyphens w:val="true"/>
        <w:overflowPunct w:val="false"/>
        <w:bidi w:val="0"/>
        <w:spacing w:before="0" w:after="0"/>
        <w:ind w:left="5669" w:right="5499" w:hanging="0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План проведения профилактических визитов</w:t>
      </w:r>
    </w:p>
    <w:p>
      <w:pPr>
        <w:pStyle w:val="Style21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2024 год</w:t>
      </w:r>
    </w:p>
    <w:p>
      <w:pPr>
        <w:pStyle w:val="Style21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tbl>
      <w:tblPr>
        <w:tblW w:w="9585" w:type="dxa"/>
        <w:jc w:val="left"/>
        <w:tblInd w:w="2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35"/>
        <w:gridCol w:w="5955"/>
        <w:gridCol w:w="2895"/>
      </w:tblGrid>
      <w:tr>
        <w:trPr/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>
              <w:rPr>
                <w:rFonts w:ascii="PT Astra Serif" w:hAnsi="PT Astra Serif"/>
                <w:sz w:val="28"/>
                <w:szCs w:val="28"/>
              </w:rPr>
              <w:t>п/п</w:t>
            </w:r>
          </w:p>
        </w:tc>
        <w:tc>
          <w:tcPr>
            <w:tcW w:w="5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юридического лица, в отношении которого запланировано проведение профилактического визита</w:t>
            </w:r>
          </w:p>
        </w:tc>
        <w:tc>
          <w:tcPr>
            <w:tcW w:w="2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Месяц проведения профилактического визита</w:t>
            </w:r>
          </w:p>
        </w:tc>
      </w:tr>
      <w:tr>
        <w:trPr/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59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Администрация Верхнекетского </w:t>
            </w:r>
            <w:r>
              <w:rPr>
                <w:rFonts w:ascii="PT Astra Serif" w:hAnsi="PT Astra Serif"/>
                <w:sz w:val="28"/>
                <w:szCs w:val="28"/>
              </w:rPr>
              <w:t>р</w:t>
            </w:r>
            <w:r>
              <w:rPr>
                <w:rFonts w:ascii="PT Astra Serif" w:hAnsi="PT Astra Serif"/>
                <w:sz w:val="28"/>
                <w:szCs w:val="28"/>
              </w:rPr>
              <w:t>айона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Ноябрь</w:t>
            </w:r>
          </w:p>
        </w:tc>
      </w:tr>
      <w:tr>
        <w:trPr/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9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rPr/>
            </w:pPr>
            <w:r>
              <w:rPr>
                <w:rFonts w:ascii="PT Astra Serif" w:hAnsi="PT Astra Serif"/>
                <w:sz w:val="28"/>
                <w:szCs w:val="28"/>
              </w:rPr>
              <w:t xml:space="preserve">Администрация </w:t>
            </w:r>
            <w:r>
              <w:rPr>
                <w:rFonts w:ascii="PT Astra Serif" w:hAnsi="PT Astra Serif"/>
                <w:sz w:val="28"/>
                <w:szCs w:val="28"/>
              </w:rPr>
              <w:t>Б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акчарского района </w:t>
            </w:r>
            <w:r>
              <w:rPr>
                <w:rFonts w:eastAsia="Times New Roman" w:cs="Times New Roman" w:ascii="PT Astra Serif" w:hAnsi="PT Astra Serif"/>
                <w:color w:val="000000"/>
                <w:kern w:val="0"/>
                <w:sz w:val="28"/>
                <w:szCs w:val="28"/>
                <w:lang w:val="ru-RU" w:eastAsia="zh-CN" w:bidi="ar-SA"/>
              </w:rPr>
              <w:t>Т</w:t>
            </w:r>
            <w:r>
              <w:rPr>
                <w:rFonts w:ascii="PT Astra Serif" w:hAnsi="PT Astra Serif"/>
                <w:sz w:val="28"/>
                <w:szCs w:val="28"/>
              </w:rPr>
              <w:t>омской области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Сентябрь</w:t>
            </w:r>
          </w:p>
        </w:tc>
      </w:tr>
      <w:tr>
        <w:trPr/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59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Администрация Бакчарского района Томской области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Июнь</w:t>
            </w:r>
          </w:p>
        </w:tc>
      </w:tr>
      <w:tr>
        <w:trPr/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59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rPr/>
            </w:pPr>
            <w:r>
              <w:rPr>
                <w:rFonts w:ascii="PT Astra Serif" w:hAnsi="PT Astra Serif"/>
                <w:sz w:val="28"/>
                <w:szCs w:val="28"/>
              </w:rPr>
              <w:t>Администрация Томского района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jc w:val="center"/>
              <w:rPr/>
            </w:pPr>
            <w:r>
              <w:rPr>
                <w:rFonts w:ascii="PT Astra Serif" w:hAnsi="PT Astra Serif"/>
                <w:sz w:val="28"/>
                <w:szCs w:val="28"/>
              </w:rPr>
              <w:t>Ноябрь</w:t>
            </w:r>
          </w:p>
        </w:tc>
      </w:tr>
    </w:tbl>
    <w:p>
      <w:pPr>
        <w:pStyle w:val="Style21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yle21"/>
        <w:rPr>
          <w:rFonts w:ascii="PT Astra Serif" w:hAnsi="PT Astra Serif"/>
        </w:rPr>
      </w:pPr>
      <w:r>
        <w:rPr/>
      </w:r>
    </w:p>
    <w:sectPr>
      <w:headerReference w:type="default" r:id="rId85"/>
      <w:type w:val="nextPage"/>
      <w:pgSz w:w="11906" w:h="16838"/>
      <w:pgMar w:left="1418" w:right="851" w:header="1134" w:top="119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Arial">
    <w:charset w:val="01"/>
    <w:family w:val="roman"/>
    <w:pitch w:val="default"/>
  </w:font>
  <w:font w:name="Calibri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PT Astra Serif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bidi w:val="0"/>
      <w:jc w:val="left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10">
              <wp:simplePos x="0" y="0"/>
              <wp:positionH relativeFrom="page">
                <wp:posOffset>3841115</wp:posOffset>
              </wp:positionH>
              <wp:positionV relativeFrom="paragraph">
                <wp:posOffset>-119380</wp:posOffset>
              </wp:positionV>
              <wp:extent cx="239395" cy="269875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8680" cy="269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7"/>
                            <w:bidi w:val="0"/>
                            <w:jc w:val="center"/>
                            <w:rPr/>
                          </w:pPr>
                          <w:r>
                            <w:rPr>
                              <w:rStyle w:val="Style9"/>
                              <w:color w:val="000000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Style9"/>
                              <w:sz w:val="28"/>
                              <w:szCs w:val="28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Style9"/>
                              <w:sz w:val="28"/>
                              <w:szCs w:val="28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Style9"/>
                              <w:sz w:val="28"/>
                              <w:szCs w:val="28"/>
                              <w:color w:val="000000"/>
                            </w:rPr>
                            <w:t>8</w:t>
                          </w:r>
                          <w:r>
                            <w:rPr>
                              <w:rStyle w:val="Style9"/>
                              <w:sz w:val="28"/>
                              <w:szCs w:val="28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stroked="f" style="position:absolute;margin-left:302.45pt;margin-top:-9.4pt;width:18.75pt;height:21.15pt;mso-position-horizont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7"/>
                      <w:bidi w:val="0"/>
                      <w:jc w:val="center"/>
                      <w:rPr/>
                    </w:pPr>
                    <w:r>
                      <w:rPr>
                        <w:rStyle w:val="Style9"/>
                        <w:color w:val="000000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Style9"/>
                        <w:sz w:val="28"/>
                        <w:szCs w:val="28"/>
                        <w:color w:val="000000"/>
                      </w:rPr>
                      <w:instrText> PAGE </w:instrText>
                    </w:r>
                    <w:r>
                      <w:rPr>
                        <w:rStyle w:val="Style9"/>
                        <w:sz w:val="28"/>
                        <w:szCs w:val="28"/>
                        <w:color w:val="000000"/>
                      </w:rPr>
                      <w:fldChar w:fldCharType="separate"/>
                    </w:r>
                    <w:r>
                      <w:rPr>
                        <w:rStyle w:val="Style9"/>
                        <w:sz w:val="28"/>
                        <w:szCs w:val="28"/>
                        <w:color w:val="000000"/>
                      </w:rPr>
                      <w:t>8</w:t>
                    </w:r>
                    <w:r>
                      <w:rPr>
                        <w:rStyle w:val="Style9"/>
                        <w:sz w:val="28"/>
                        <w:szCs w:val="28"/>
                        <w:color w:val="000000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571" w:type="dxa"/>
      <w:jc w:val="center"/>
      <w:tblInd w:w="0" w:type="dxa"/>
      <w:tblCellMar>
        <w:top w:w="0" w:type="dxa"/>
        <w:left w:w="108" w:type="dxa"/>
        <w:bottom w:w="0" w:type="dxa"/>
        <w:right w:w="108" w:type="dxa"/>
      </w:tblCellMar>
    </w:tblPr>
    <w:tblGrid>
      <w:gridCol w:w="9571"/>
    </w:tblGrid>
    <w:tr>
      <w:trPr>
        <w:trHeight w:val="1247" w:hRule="atLeast"/>
      </w:trPr>
      <w:tc>
        <w:tcPr>
          <w:tcW w:w="9571" w:type="dxa"/>
          <w:tcBorders/>
          <w:shd w:fill="auto" w:val="clear"/>
        </w:tcPr>
        <w:p>
          <w:pPr>
            <w:pStyle w:val="Style17"/>
            <w:tabs>
              <w:tab w:val="clear" w:pos="4153"/>
              <w:tab w:val="clear" w:pos="8306"/>
              <w:tab w:val="left" w:pos="1512" w:leader="none"/>
              <w:tab w:val="left" w:pos="2592" w:leader="none"/>
              <w:tab w:val="right" w:pos="9612" w:leader="none"/>
            </w:tabs>
            <w:bidi w:val="0"/>
            <w:ind w:left="-108" w:right="-108" w:hanging="0"/>
            <w:jc w:val="center"/>
            <w:rPr/>
          </w:pPr>
          <w:bookmarkStart w:id="3" w:name="_1612706920"/>
          <w:bookmarkEnd w:id="3"/>
          <w:r>
            <w:rPr/>
            <w:object>
              <v:shape id="ole_rId1" style="width:57.75pt;height:57.7pt" o:ole="">
                <v:imagedata r:id="rId2" o:title=""/>
              </v:shape>
              <o:OLEObject Type="Embed" ProgID="" ShapeID="ole_rId1" DrawAspect="Content" ObjectID="_1740484403" r:id="rId1"/>
            </w:object>
          </w:r>
        </w:p>
      </w:tc>
    </w:tr>
    <w:tr>
      <w:trPr>
        <w:trHeight w:val="851" w:hRule="atLeast"/>
      </w:trPr>
      <w:tc>
        <w:tcPr>
          <w:tcW w:w="9571" w:type="dxa"/>
          <w:tcBorders/>
          <w:shd w:fill="auto" w:val="clear"/>
        </w:tcPr>
        <w:p>
          <w:pPr>
            <w:pStyle w:val="Style17"/>
            <w:tabs>
              <w:tab w:val="clear" w:pos="4153"/>
              <w:tab w:val="clear" w:pos="8306"/>
              <w:tab w:val="left" w:pos="1512" w:leader="none"/>
              <w:tab w:val="left" w:pos="2592" w:leader="none"/>
              <w:tab w:val="right" w:pos="9612" w:leader="none"/>
            </w:tabs>
            <w:bidi w:val="0"/>
            <w:spacing w:before="120" w:after="0"/>
            <w:jc w:val="center"/>
            <w:rPr>
              <w:rFonts w:ascii="PT Astra Serif" w:hAnsi="PT Astra Serif"/>
            </w:rPr>
          </w:pPr>
          <w:r>
            <w:rPr>
              <w:rFonts w:ascii="PT Astra Serif" w:hAnsi="PT Astra Serif"/>
              <w:b/>
              <w:sz w:val="30"/>
              <w:szCs w:val="30"/>
            </w:rPr>
            <w:t>ДЕПАРТАМЕНТ ПО КУЛЬТУРЕ</w:t>
            <w:br/>
            <w:t>ТОМСКОЙ ОБЛАСТИ</w:t>
          </w:r>
        </w:p>
      </w:tc>
    </w:tr>
  </w:tbl>
  <w:p>
    <w:pPr>
      <w:pStyle w:val="Style17"/>
      <w:bidi w:val="0"/>
      <w:jc w:val="left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bidi w:val="0"/>
      <w:jc w:val="center"/>
      <w:rPr>
        <w:sz w:val="28"/>
        <w:szCs w:val="28"/>
      </w:rPr>
    </w:pPr>
    <w:r>
      <w:rPr>
        <w:sz w:val="28"/>
        <w:szCs w:val="28"/>
      </w:rPr>
      <w:t>1</w:t>
    </w:r>
    <w:r>
      <w:rPr>
        <w:rFonts w:eastAsia="Times New Roman" w:cs="Times New Roman"/>
        <w:color w:val="auto"/>
        <w:kern w:val="0"/>
        <w:sz w:val="28"/>
        <w:szCs w:val="28"/>
        <w:lang w:val="ru-RU" w:eastAsia="zh-CN" w:bidi="ar-SA"/>
      </w:rPr>
      <w:t>0</w: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bidi w:val="0"/>
      <w:jc w:val="center"/>
      <w:rPr>
        <w:rFonts w:ascii="Times New Roman" w:hAnsi="Times New Roman" w:eastAsia="Times New Roman" w:cs="Times New Roman"/>
        <w:color w:val="auto"/>
        <w:kern w:val="0"/>
        <w:sz w:val="28"/>
        <w:szCs w:val="28"/>
        <w:lang w:val="ru-RU" w:eastAsia="zh-CN" w:bidi="ar-SA"/>
      </w:rPr>
    </w:pPr>
    <w:r>
      <w:rPr>
        <w:rFonts w:eastAsia="Times New Roman" w:cs="Times New Roman"/>
        <w:color w:val="auto"/>
        <w:kern w:val="0"/>
        <w:sz w:val="28"/>
        <w:szCs w:val="28"/>
        <w:lang w:val="ru-RU" w:eastAsia="zh-CN" w:bidi="ar-SA"/>
      </w:rPr>
      <w:t>9</w: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bidi w:val="0"/>
      <w:jc w:val="left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page">
                <wp:posOffset>3841115</wp:posOffset>
              </wp:positionH>
              <wp:positionV relativeFrom="paragraph">
                <wp:posOffset>-119380</wp:posOffset>
              </wp:positionV>
              <wp:extent cx="239395" cy="269875"/>
              <wp:effectExtent l="0" t="0" r="0" b="0"/>
              <wp:wrapSquare wrapText="largest"/>
              <wp:docPr id="3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8680" cy="269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7"/>
                            <w:bidi w:val="0"/>
                            <w:jc w:val="center"/>
                            <w:rPr/>
                          </w:pPr>
                          <w:r>
                            <w:rPr>
                              <w:rStyle w:val="Style9"/>
                              <w:color w:val="000000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Style9"/>
                              <w:sz w:val="28"/>
                              <w:szCs w:val="28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Style9"/>
                              <w:sz w:val="28"/>
                              <w:szCs w:val="28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Style9"/>
                              <w:sz w:val="28"/>
                              <w:szCs w:val="28"/>
                              <w:color w:val="000000"/>
                            </w:rPr>
                            <w:t>12</w:t>
                          </w:r>
                          <w:r>
                            <w:rPr>
                              <w:rStyle w:val="Style9"/>
                              <w:sz w:val="28"/>
                              <w:szCs w:val="28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stroked="f" style="position:absolute;margin-left:302.45pt;margin-top:-9.4pt;width:18.75pt;height:21.15pt;mso-position-horizont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7"/>
                      <w:bidi w:val="0"/>
                      <w:jc w:val="center"/>
                      <w:rPr/>
                    </w:pPr>
                    <w:r>
                      <w:rPr>
                        <w:rStyle w:val="Style9"/>
                        <w:color w:val="000000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Style9"/>
                        <w:sz w:val="28"/>
                        <w:szCs w:val="28"/>
                        <w:color w:val="000000"/>
                      </w:rPr>
                      <w:instrText> PAGE </w:instrText>
                    </w:r>
                    <w:r>
                      <w:rPr>
                        <w:rStyle w:val="Style9"/>
                        <w:sz w:val="28"/>
                        <w:szCs w:val="28"/>
                        <w:color w:val="000000"/>
                      </w:rPr>
                      <w:fldChar w:fldCharType="separate"/>
                    </w:r>
                    <w:r>
                      <w:rPr>
                        <w:rStyle w:val="Style9"/>
                        <w:sz w:val="28"/>
                        <w:szCs w:val="28"/>
                        <w:color w:val="000000"/>
                      </w:rPr>
                      <w:t>12</w:t>
                    </w:r>
                    <w:r>
                      <w:rPr>
                        <w:rStyle w:val="Style9"/>
                        <w:sz w:val="28"/>
                        <w:szCs w:val="28"/>
                        <w:color w:val="000000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Astra Serif" w:hAnsi="PT Astra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1">
    <w:name w:val="Heading 1"/>
    <w:basedOn w:val="LONormal"/>
    <w:next w:val="LONormal"/>
    <w:qFormat/>
    <w:pPr>
      <w:keepNext w:val="true"/>
      <w:numPr>
        <w:ilvl w:val="0"/>
        <w:numId w:val="1"/>
      </w:numPr>
      <w:outlineLvl w:val="0"/>
    </w:pPr>
    <w:rPr>
      <w:rFonts w:ascii="Tahoma" w:hAnsi="Tahoma" w:cs="Tahoma"/>
      <w:sz w:val="24"/>
    </w:rPr>
  </w:style>
  <w:style w:type="paragraph" w:styleId="2">
    <w:name w:val="Heading 2"/>
    <w:basedOn w:val="LONormal"/>
    <w:next w:val="LONormal"/>
    <w:qFormat/>
    <w:pPr>
      <w:keepNext w:val="true"/>
      <w:numPr>
        <w:ilvl w:val="1"/>
        <w:numId w:val="1"/>
      </w:numPr>
      <w:outlineLvl w:val="1"/>
    </w:pPr>
    <w:rPr>
      <w:rFonts w:ascii="Tahoma" w:hAnsi="Tahoma" w:cs="Tahoma"/>
      <w:spacing w:val="20"/>
      <w:sz w:val="28"/>
    </w:rPr>
  </w:style>
  <w:style w:type="paragraph" w:styleId="3">
    <w:name w:val="Heading 3"/>
    <w:basedOn w:val="LONormal"/>
    <w:next w:val="LONormal"/>
    <w:qFormat/>
    <w:pPr>
      <w:keepNext w:val="true"/>
      <w:numPr>
        <w:ilvl w:val="2"/>
        <w:numId w:val="1"/>
      </w:numPr>
      <w:outlineLvl w:val="2"/>
    </w:pPr>
    <w:rPr>
      <w:rFonts w:ascii="Tahoma" w:hAnsi="Tahoma" w:cs="Tahoma"/>
      <w:b/>
      <w:sz w:val="32"/>
    </w:rPr>
  </w:style>
  <w:style w:type="paragraph" w:styleId="4">
    <w:name w:val="Heading 4"/>
    <w:basedOn w:val="LONormal"/>
    <w:next w:val="LONormal"/>
    <w:qFormat/>
    <w:pPr>
      <w:keepNext w:val="true"/>
      <w:numPr>
        <w:ilvl w:val="3"/>
        <w:numId w:val="1"/>
      </w:numPr>
      <w:jc w:val="both"/>
      <w:outlineLvl w:val="3"/>
    </w:pPr>
    <w:rPr>
      <w:sz w:val="28"/>
    </w:rPr>
  </w:style>
  <w:style w:type="paragraph" w:styleId="5">
    <w:name w:val="Heading 5"/>
    <w:basedOn w:val="LONormal"/>
    <w:next w:val="LONormal"/>
    <w:qFormat/>
    <w:pPr>
      <w:keepNext w:val="true"/>
      <w:numPr>
        <w:ilvl w:val="4"/>
        <w:numId w:val="1"/>
      </w:numPr>
      <w:ind w:left="0" w:right="0" w:firstLine="567"/>
      <w:outlineLvl w:val="4"/>
    </w:pPr>
    <w:rPr>
      <w:sz w:val="28"/>
    </w:rPr>
  </w:style>
  <w:style w:type="paragraph" w:styleId="6">
    <w:name w:val="Heading 6"/>
    <w:basedOn w:val="LONormal"/>
    <w:next w:val="LONormal"/>
    <w:qFormat/>
    <w:pPr>
      <w:keepNext w:val="true"/>
      <w:numPr>
        <w:ilvl w:val="5"/>
        <w:numId w:val="1"/>
      </w:numPr>
      <w:ind w:left="7200" w:right="0" w:hanging="0"/>
      <w:jc w:val="both"/>
      <w:outlineLvl w:val="5"/>
    </w:pPr>
    <w:rPr>
      <w:sz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>
      <w:rFonts w:ascii="Symbol" w:hAnsi="Symbol" w:cs="Symbol"/>
    </w:rPr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>
      <w:rFonts w:ascii="Symbol" w:hAnsi="Symbol" w:cs="Symbol"/>
    </w:rPr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rFonts w:ascii="Symbol" w:hAnsi="Symbol" w:cs="Symbol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7z0">
    <w:name w:val="WW8Num7z0"/>
    <w:qFormat/>
    <w:rPr>
      <w:rFonts w:ascii="Times New Roman" w:hAnsi="Times New Roman" w:eastAsia="Times New Roman" w:cs="Times New Roman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/>
  </w:style>
  <w:style w:type="character" w:styleId="Style8">
    <w:name w:val="Основной шрифт абзаца"/>
    <w:qFormat/>
    <w:rPr/>
  </w:style>
  <w:style w:type="character" w:styleId="DefaultParagraphFont">
    <w:name w:val="Default Paragraph Font"/>
    <w:qFormat/>
    <w:rPr/>
  </w:style>
  <w:style w:type="character" w:styleId="Style9">
    <w:name w:val="Номер страницы"/>
    <w:basedOn w:val="Style8"/>
    <w:rPr/>
  </w:style>
  <w:style w:type="character" w:styleId="Style10">
    <w:name w:val="Интернет-ссылка"/>
    <w:rPr>
      <w:color w:val="000080"/>
      <w:u w:val="single"/>
      <w:lang w:val="zxx" w:eastAsia="zxx" w:bidi="zxx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2">
    <w:name w:val="Body Text"/>
    <w:basedOn w:val="LONormal"/>
    <w:qFormat/>
    <w:pPr>
      <w:spacing w:lineRule="auto" w:line="360"/>
      <w:jc w:val="both"/>
    </w:pPr>
    <w:rPr>
      <w:sz w:val="28"/>
    </w:rPr>
  </w:style>
  <w:style w:type="paragraph" w:styleId="Style13">
    <w:name w:val="List"/>
    <w:basedOn w:val="Style12"/>
    <w:pPr/>
    <w:rPr>
      <w:rFonts w:ascii="PT Astra Serif" w:hAnsi="PT Astra Serif" w:cs="Noto Sans Devanagari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ONormal">
    <w:name w:val="LO-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Style16">
    <w:name w:val="Верхний и нижний колонтитулы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17">
    <w:name w:val="Header"/>
    <w:basedOn w:val="LONormal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Style18">
    <w:name w:val="Footer"/>
    <w:basedOn w:val="LONormal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Style19">
    <w:name w:val="Body Text Indent"/>
    <w:basedOn w:val="LONormal"/>
    <w:pPr>
      <w:ind w:left="0" w:right="0" w:firstLine="426"/>
      <w:jc w:val="both"/>
    </w:pPr>
    <w:rPr>
      <w:sz w:val="28"/>
    </w:rPr>
  </w:style>
  <w:style w:type="paragraph" w:styleId="21">
    <w:name w:val="Основной текст с отступом 2"/>
    <w:basedOn w:val="LONormal"/>
    <w:qFormat/>
    <w:pPr>
      <w:ind w:left="0" w:right="0" w:firstLine="720"/>
      <w:jc w:val="both"/>
    </w:pPr>
    <w:rPr>
      <w:sz w:val="28"/>
    </w:rPr>
  </w:style>
  <w:style w:type="paragraph" w:styleId="ConsNonformat">
    <w:name w:val="ConsNonformat"/>
    <w:qFormat/>
    <w:pPr>
      <w:widowControl/>
      <w:suppressAutoHyphens w:val="true"/>
      <w:overflowPunct w:val="false"/>
      <w:bidi w:val="0"/>
      <w:spacing w:before="0" w:after="0"/>
      <w:ind w:left="0" w:right="19772" w:hanging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paragraph" w:styleId="ConsTitle">
    <w:name w:val="ConsTitle"/>
    <w:qFormat/>
    <w:pPr>
      <w:widowControl/>
      <w:suppressAutoHyphens w:val="true"/>
      <w:overflowPunct w:val="false"/>
      <w:bidi w:val="0"/>
      <w:spacing w:before="0" w:after="0"/>
      <w:ind w:left="0" w:right="19772" w:hanging="0"/>
      <w:jc w:val="left"/>
    </w:pPr>
    <w:rPr>
      <w:rFonts w:ascii="Arial" w:hAnsi="Arial" w:eastAsia="Times New Roman" w:cs="Arial"/>
      <w:b/>
      <w:color w:val="auto"/>
      <w:kern w:val="0"/>
      <w:sz w:val="16"/>
      <w:szCs w:val="20"/>
      <w:lang w:val="ru-RU" w:eastAsia="zh-CN" w:bidi="ar-SA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Исполнитель"/>
    <w:basedOn w:val="Normal"/>
    <w:qFormat/>
    <w:pPr/>
    <w:rPr/>
  </w:style>
  <w:style w:type="paragraph" w:styleId="ConsPlusNormal">
    <w:name w:val="ConsPlus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0"/>
      <w:lang w:val="ru-RU" w:eastAsia="zh-CN" w:bidi="ar-SA"/>
    </w:rPr>
  </w:style>
  <w:style w:type="paragraph" w:styleId="ConsPlusNonformat">
    <w:name w:val="ConsPlusNonformat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paragraph" w:styleId="Style24">
    <w:name w:val="Содержимое врезки"/>
    <w:basedOn w:val="Normal"/>
    <w:qFormat/>
    <w:pPr/>
    <w:rPr/>
  </w:style>
  <w:style w:type="paragraph" w:styleId="31">
    <w:name w:val="Основной текст3"/>
    <w:basedOn w:val="Normal"/>
    <w:qFormat/>
    <w:pPr>
      <w:shd w:val="clear" w:fill="FFFFFF"/>
      <w:spacing w:lineRule="auto" w:line="240" w:before="480" w:after="480"/>
      <w:ind w:left="0" w:right="0" w:hanging="940"/>
      <w:jc w:val="center"/>
    </w:pPr>
    <w:rPr>
      <w:sz w:val="27"/>
      <w:szCs w:val="27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>
      <w:sz w:val="28"/>
    </w:rPr>
  </w:style>
  <w:style w:type="paragraph" w:styleId="ClassyRed1LTGliederung1">
    <w:name w:val="Classy_Red1~LT~Gliederung 1"/>
    <w:qFormat/>
    <w:pPr>
      <w:widowControl w:val="false"/>
      <w:suppressAutoHyphens w:val="true"/>
      <w:overflowPunct w:val="true"/>
      <w:bidi w:val="0"/>
      <w:spacing w:before="0" w:after="283"/>
      <w:jc w:val="left"/>
    </w:pPr>
    <w:rPr>
      <w:rFonts w:ascii="Liberation Sans" w:hAnsi="Liberation Sans" w:eastAsia="Tahoma" w:cs="Calibri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szCs w:val="24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4238496C876AC9DA00C459C7D5287E91246548B6D70E019B42264588A62875E" TargetMode="External"/><Relationship Id="rId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1" Type="http://schemas.openxmlformats.org/officeDocument/2006/relationships/header" Target="header1.xml"/><Relationship Id="rId42" Type="http://schemas.openxmlformats.org/officeDocument/2006/relationships/header" Target="header2.xml"/><Relationship Id="rId4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9" Type="http://schemas.openxmlformats.org/officeDocument/2006/relationships/header" Target="header3.xml"/><Relationship Id="rId70" Type="http://schemas.openxmlformats.org/officeDocument/2006/relationships/header" Target="header4.xml"/><Relationship Id="rId7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7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85" Type="http://schemas.openxmlformats.org/officeDocument/2006/relationships/header" Target="header5.xml"/><Relationship Id="rId86" Type="http://schemas.openxmlformats.org/officeDocument/2006/relationships/numbering" Target="numbering.xml"/><Relationship Id="rId87" Type="http://schemas.openxmlformats.org/officeDocument/2006/relationships/fontTable" Target="fontTable.xml"/><Relationship Id="rId88" Type="http://schemas.openxmlformats.org/officeDocument/2006/relationships/settings" Target="settings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1162</TotalTime>
  <Application>LibreOffice/6.4.6.2$Linux_X86_64 LibreOffice_project/40$Build-2</Application>
  <Pages>12</Pages>
  <Words>2629</Words>
  <Characters>19562</Characters>
  <CharactersWithSpaces>22181</CharactersWithSpaces>
  <Paragraphs>211</Paragraphs>
  <Company>КонсультантПлюс Версия 4022.00.21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2022-09-23T10:50:00Z</dcterms:created>
  <dc:creator/>
  <dc:description/>
  <dc:language>ru-RU</dc:language>
  <cp:lastModifiedBy/>
  <cp:lastPrinted>2023-09-20T10:38:28Z</cp:lastPrinted>
  <dcterms:modified xsi:type="dcterms:W3CDTF">2023-09-27T09:25:17Z</dcterms:modified>
  <cp:revision>23</cp:revision>
  <dc:subject/>
  <dc:title>Постановление Администрации Томской области от 01.10.2021 N 419а(ред. от 09.03.2022)"Об утверждении Положения о региональном государственном контроле (надзоре) за соблюдением законодательства об архивном деле на территории Томской области"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4022.00.21</vt:lpwstr>
  </property>
</Properties>
</file>